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920" w:rsidRDefault="00B1473F">
      <w:pPr>
        <w:pStyle w:val="Intituldocument"/>
        <w:keepNext w:val="0"/>
        <w:rPr>
          <w:rFonts w:ascii="Arial" w:hAnsi="Arial" w:cs="Arial"/>
          <w:sz w:val="26"/>
          <w:szCs w:val="26"/>
        </w:rPr>
      </w:pPr>
      <w:bookmarkStart w:id="0" w:name="Bookmark"/>
      <w:bookmarkStart w:id="1" w:name="Bookmark3"/>
      <w:bookmarkStart w:id="2" w:name="Bookmark1"/>
      <w:bookmarkStart w:id="3" w:name="Bookmark11"/>
      <w:bookmarkStart w:id="4" w:name="Bookmark2"/>
      <w:bookmarkStart w:id="5" w:name="Bookmark4"/>
      <w:bookmarkStart w:id="6" w:name="_GoBack"/>
      <w:bookmarkEnd w:id="0"/>
      <w:bookmarkEnd w:id="1"/>
      <w:bookmarkEnd w:id="2"/>
      <w:bookmarkEnd w:id="3"/>
      <w:bookmarkEnd w:id="4"/>
      <w:bookmarkEnd w:id="5"/>
      <w:bookmarkEnd w:id="6"/>
      <w:r>
        <w:rPr>
          <w:rFonts w:ascii="Arial" w:hAnsi="Arial" w:cs="Arial"/>
          <w:sz w:val="26"/>
          <w:szCs w:val="26"/>
        </w:rPr>
        <w:t>CONTRAT TYPE DE LOCATION OU DE COLOCATION DE LOGEMENT MEUBLÉ</w:t>
      </w:r>
    </w:p>
    <w:p w:rsidR="00555920" w:rsidRDefault="00555920">
      <w:pPr>
        <w:pStyle w:val="Standard"/>
        <w:rPr>
          <w:rFonts w:ascii="Arial" w:hAnsi="Arial"/>
          <w:sz w:val="21"/>
          <w:szCs w:val="21"/>
        </w:rPr>
      </w:pPr>
    </w:p>
    <w:p w:rsidR="00555920" w:rsidRDefault="00B1473F">
      <w:pPr>
        <w:pStyle w:val="Standard"/>
        <w:jc w:val="center"/>
        <w:rPr>
          <w:rFonts w:ascii="Arial" w:hAnsi="Arial" w:cs="Arial"/>
          <w:sz w:val="21"/>
          <w:szCs w:val="21"/>
        </w:rPr>
      </w:pPr>
      <w:r>
        <w:rPr>
          <w:rFonts w:ascii="Arial" w:hAnsi="Arial" w:cs="Arial"/>
          <w:sz w:val="21"/>
          <w:szCs w:val="21"/>
        </w:rPr>
        <w:t>(Soumis au titre Ier bis de la loi du 6 juillet 1989 tendant à améliorer les rapports locatifs</w:t>
      </w:r>
    </w:p>
    <w:p w:rsidR="00555920" w:rsidRDefault="00B1473F">
      <w:pPr>
        <w:pStyle w:val="Standard"/>
        <w:jc w:val="center"/>
        <w:rPr>
          <w:rFonts w:ascii="Arial" w:hAnsi="Arial" w:cs="Arial"/>
          <w:sz w:val="21"/>
          <w:szCs w:val="21"/>
        </w:rPr>
      </w:pPr>
      <w:r>
        <w:rPr>
          <w:rFonts w:ascii="Arial" w:hAnsi="Arial" w:cs="Arial"/>
          <w:sz w:val="21"/>
          <w:szCs w:val="21"/>
        </w:rPr>
        <w:t xml:space="preserve">et portant modification </w:t>
      </w:r>
      <w:r>
        <w:rPr>
          <w:rFonts w:ascii="Arial" w:hAnsi="Arial" w:cs="Arial"/>
          <w:sz w:val="21"/>
          <w:szCs w:val="21"/>
        </w:rPr>
        <w:t>de la loi n° 86 - 1290 du 23 décembre 1986 )</w:t>
      </w:r>
    </w:p>
    <w:p w:rsidR="00555920" w:rsidRDefault="00555920">
      <w:pPr>
        <w:pStyle w:val="Standard"/>
        <w:jc w:val="both"/>
        <w:rPr>
          <w:rFonts w:ascii="Arial" w:hAnsi="Arial" w:cs="Arial"/>
          <w:b/>
          <w:sz w:val="16"/>
          <w:szCs w:val="16"/>
        </w:rPr>
      </w:pPr>
    </w:p>
    <w:p w:rsidR="00555920" w:rsidRDefault="00B1473F">
      <w:pPr>
        <w:pStyle w:val="Standard"/>
        <w:jc w:val="both"/>
      </w:pPr>
      <w:r>
        <w:rPr>
          <w:rFonts w:ascii="Arial" w:hAnsi="Arial" w:cs="Arial"/>
          <w:b/>
          <w:sz w:val="16"/>
          <w:szCs w:val="16"/>
        </w:rPr>
        <w:t>Champ du contrat type</w:t>
      </w:r>
      <w:r>
        <w:rPr>
          <w:rFonts w:ascii="Arial" w:hAnsi="Arial" w:cs="Arial"/>
          <w:sz w:val="16"/>
          <w:szCs w:val="16"/>
        </w:rPr>
        <w:t xml:space="preserve"> : Le présent contrat type de location est applicable aux locations et aux colocations de logement meublé et qui constitue la résidence principale du preneur, à l’exception :</w:t>
      </w:r>
    </w:p>
    <w:p w:rsidR="00555920" w:rsidRDefault="00B1473F">
      <w:pPr>
        <w:pStyle w:val="Standard"/>
        <w:numPr>
          <w:ilvl w:val="0"/>
          <w:numId w:val="333"/>
        </w:numPr>
        <w:ind w:left="0" w:firstLine="0"/>
        <w:jc w:val="both"/>
        <w:rPr>
          <w:rFonts w:ascii="Arial" w:hAnsi="Arial" w:cs="Arial"/>
          <w:sz w:val="16"/>
          <w:szCs w:val="16"/>
        </w:rPr>
      </w:pPr>
      <w:r>
        <w:rPr>
          <w:rFonts w:ascii="Arial" w:hAnsi="Arial" w:cs="Arial"/>
          <w:sz w:val="16"/>
          <w:szCs w:val="16"/>
        </w:rPr>
        <w:t>- des colocati</w:t>
      </w:r>
      <w:r>
        <w:rPr>
          <w:rFonts w:ascii="Arial" w:hAnsi="Arial" w:cs="Arial"/>
          <w:sz w:val="16"/>
          <w:szCs w:val="16"/>
        </w:rPr>
        <w:t>ons formalisées par la conclusion de plusieurs contrats entre les locataires et le bailleur ;</w:t>
      </w:r>
    </w:p>
    <w:p w:rsidR="00555920" w:rsidRDefault="00B1473F">
      <w:pPr>
        <w:pStyle w:val="Standard"/>
        <w:numPr>
          <w:ilvl w:val="0"/>
          <w:numId w:val="334"/>
        </w:numPr>
        <w:ind w:left="0" w:firstLine="0"/>
        <w:jc w:val="both"/>
        <w:rPr>
          <w:rFonts w:ascii="Arial" w:hAnsi="Arial" w:cs="Arial"/>
          <w:sz w:val="16"/>
          <w:szCs w:val="16"/>
        </w:rPr>
      </w:pPr>
      <w:r>
        <w:rPr>
          <w:rFonts w:ascii="Arial" w:hAnsi="Arial" w:cs="Arial"/>
          <w:sz w:val="16"/>
          <w:szCs w:val="16"/>
        </w:rPr>
        <w:t xml:space="preserve">- des locations de logement appartenant à un organisme d’habitation à loyer modéré et faisant l’objet d’une convention passée en application de l’article L.351-2 </w:t>
      </w:r>
      <w:r>
        <w:rPr>
          <w:rFonts w:ascii="Arial" w:hAnsi="Arial" w:cs="Arial"/>
          <w:sz w:val="16"/>
          <w:szCs w:val="16"/>
        </w:rPr>
        <w:t>du code de la construction et de l’habitation.</w:t>
      </w:r>
    </w:p>
    <w:p w:rsidR="00555920" w:rsidRDefault="00555920">
      <w:pPr>
        <w:pStyle w:val="Standard"/>
        <w:jc w:val="both"/>
        <w:rPr>
          <w:rFonts w:ascii="Arial" w:hAnsi="Arial" w:cs="Arial"/>
          <w:sz w:val="16"/>
          <w:szCs w:val="16"/>
        </w:rPr>
      </w:pPr>
    </w:p>
    <w:p w:rsidR="00555920" w:rsidRDefault="00B1473F">
      <w:pPr>
        <w:pStyle w:val="Standard"/>
        <w:jc w:val="both"/>
      </w:pPr>
      <w:r>
        <w:rPr>
          <w:rFonts w:ascii="Arial" w:hAnsi="Arial" w:cs="Arial"/>
          <w:b/>
          <w:sz w:val="16"/>
          <w:szCs w:val="16"/>
        </w:rPr>
        <w:t>Modalités d’application du contrat type</w:t>
      </w:r>
      <w:r>
        <w:rPr>
          <w:rFonts w:ascii="Arial" w:hAnsi="Arial" w:cs="Arial"/>
          <w:sz w:val="16"/>
          <w:szCs w:val="16"/>
        </w:rPr>
        <w:t xml:space="preserve"> : Le régime de droit commun en matière de baux d’habitation est défini principalement par la loi n° 89-462 du 6 juillet 1989 tendant à améliorer les rapports locatifs e</w:t>
      </w:r>
      <w:r>
        <w:rPr>
          <w:rFonts w:ascii="Arial" w:hAnsi="Arial" w:cs="Arial"/>
          <w:sz w:val="16"/>
          <w:szCs w:val="16"/>
        </w:rPr>
        <w:t>t portant modification de la loi n° 86-1290 du 23 décembre 1986. L’ensemble de ces dispositions étant d’ordre public, elles s’imposent aux parties qui, en principe, ne peuvent pas y renoncer.</w:t>
      </w:r>
    </w:p>
    <w:p w:rsidR="00555920" w:rsidRDefault="00555920">
      <w:pPr>
        <w:pStyle w:val="Standard"/>
        <w:jc w:val="both"/>
        <w:rPr>
          <w:rFonts w:ascii="Arial" w:hAnsi="Arial" w:cs="Arial"/>
          <w:sz w:val="16"/>
          <w:szCs w:val="16"/>
        </w:rPr>
      </w:pPr>
    </w:p>
    <w:p w:rsidR="00555920" w:rsidRDefault="00B1473F">
      <w:pPr>
        <w:pStyle w:val="Standard"/>
        <w:jc w:val="both"/>
        <w:rPr>
          <w:rFonts w:ascii="Arial" w:hAnsi="Arial" w:cs="Arial"/>
          <w:sz w:val="16"/>
          <w:szCs w:val="16"/>
        </w:rPr>
      </w:pPr>
      <w:r>
        <w:rPr>
          <w:rFonts w:ascii="Arial" w:hAnsi="Arial" w:cs="Arial"/>
          <w:sz w:val="16"/>
          <w:szCs w:val="16"/>
        </w:rPr>
        <w:t>En conséquence :</w:t>
      </w:r>
    </w:p>
    <w:p w:rsidR="00555920" w:rsidRDefault="00B1473F">
      <w:pPr>
        <w:pStyle w:val="Standard"/>
        <w:numPr>
          <w:ilvl w:val="0"/>
          <w:numId w:val="335"/>
        </w:numPr>
        <w:ind w:left="0" w:firstLine="0"/>
        <w:jc w:val="both"/>
        <w:rPr>
          <w:rFonts w:ascii="Arial" w:hAnsi="Arial" w:cs="Arial"/>
          <w:sz w:val="16"/>
          <w:szCs w:val="16"/>
        </w:rPr>
      </w:pPr>
      <w:r>
        <w:rPr>
          <w:rFonts w:ascii="Arial" w:hAnsi="Arial" w:cs="Arial"/>
          <w:sz w:val="16"/>
          <w:szCs w:val="16"/>
        </w:rPr>
        <w:t>- le présent contrat type de location contient</w:t>
      </w:r>
      <w:r>
        <w:rPr>
          <w:rFonts w:ascii="Arial" w:hAnsi="Arial" w:cs="Arial"/>
          <w:sz w:val="16"/>
          <w:szCs w:val="16"/>
        </w:rPr>
        <w:t xml:space="preserve"> uniquement les clauses essentielles du contrat dont la législation et la réglementation en vigueur au jour de sa publication imposent la mention par les parties dans le contrat. Il appartient cependant aux parties de s’assurer des dispositions applicables</w:t>
      </w:r>
      <w:r>
        <w:rPr>
          <w:rFonts w:ascii="Arial" w:hAnsi="Arial" w:cs="Arial"/>
          <w:sz w:val="16"/>
          <w:szCs w:val="16"/>
        </w:rPr>
        <w:t xml:space="preserve"> au jour de la conclusion du contrat.</w:t>
      </w:r>
    </w:p>
    <w:p w:rsidR="00555920" w:rsidRDefault="00B1473F">
      <w:pPr>
        <w:pStyle w:val="Standard"/>
        <w:numPr>
          <w:ilvl w:val="0"/>
          <w:numId w:val="336"/>
        </w:numPr>
        <w:ind w:left="0" w:firstLine="0"/>
        <w:jc w:val="both"/>
        <w:rPr>
          <w:rFonts w:ascii="Arial" w:hAnsi="Arial" w:cs="Arial"/>
          <w:sz w:val="16"/>
          <w:szCs w:val="16"/>
        </w:rPr>
      </w:pPr>
      <w:r>
        <w:rPr>
          <w:rFonts w:ascii="Arial" w:hAnsi="Arial" w:cs="Arial"/>
          <w:sz w:val="16"/>
          <w:szCs w:val="16"/>
        </w:rPr>
        <w:t xml:space="preserve">- au-delà de ces clauses, les parties sont également soumises à l’ensemble des dispositions légales et réglementaires d’ordre public applicables aux baux d’habitation sans qu’il soit nécessaire de les faire figurer </w:t>
      </w:r>
      <w:r>
        <w:rPr>
          <w:rFonts w:ascii="Arial" w:hAnsi="Arial" w:cs="Arial"/>
          <w:sz w:val="16"/>
          <w:szCs w:val="16"/>
        </w:rPr>
        <w:t>dans le contrat et qui sont rappelées utilement dans la notice d’information qui doit être jointe à chaque contrat.</w:t>
      </w:r>
    </w:p>
    <w:p w:rsidR="00555920" w:rsidRDefault="00B1473F">
      <w:pPr>
        <w:pStyle w:val="Standard"/>
        <w:numPr>
          <w:ilvl w:val="0"/>
          <w:numId w:val="337"/>
        </w:numPr>
        <w:ind w:left="0" w:firstLine="0"/>
        <w:jc w:val="both"/>
        <w:rPr>
          <w:rFonts w:ascii="Arial" w:eastAsia="Arial, HELVETICA" w:hAnsi="Arial" w:cs="Arial"/>
          <w:sz w:val="16"/>
          <w:szCs w:val="16"/>
        </w:rPr>
      </w:pPr>
      <w:r>
        <w:rPr>
          <w:rFonts w:ascii="Arial" w:eastAsia="Arial, HELVETICA" w:hAnsi="Arial" w:cs="Arial"/>
          <w:sz w:val="16"/>
          <w:szCs w:val="16"/>
        </w:rPr>
        <w:t xml:space="preserve">- les parties sont libres de prévoir dans le contrat d’autres clauses particulières, propres à chaque location, dans la mesure où celles-ci </w:t>
      </w:r>
      <w:r>
        <w:rPr>
          <w:rFonts w:ascii="Arial" w:eastAsia="Arial, HELVETICA" w:hAnsi="Arial" w:cs="Arial"/>
          <w:sz w:val="16"/>
          <w:szCs w:val="16"/>
        </w:rPr>
        <w:t>sont conformes aux dispositions législatives et réglementaires en vigueur. Les parties peuvent également convenir de l’utilisation de tout autre support pour établir leur contrat, dans le respect du présent contrat type.</w:t>
      </w:r>
    </w:p>
    <w:p w:rsidR="00555920" w:rsidRDefault="00555920">
      <w:pPr>
        <w:pStyle w:val="Standard"/>
        <w:numPr>
          <w:ilvl w:val="0"/>
          <w:numId w:val="338"/>
        </w:numPr>
        <w:ind w:left="0" w:firstLine="0"/>
        <w:jc w:val="both"/>
        <w:rPr>
          <w:rFonts w:ascii="Arial" w:eastAsia="Arial, HELVETICA" w:hAnsi="Arial" w:cs="Arial"/>
          <w:sz w:val="16"/>
          <w:szCs w:val="16"/>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I. DÉSIGNATION DES PARTIES</w:t>
      </w:r>
    </w:p>
    <w:p w:rsidR="00555920" w:rsidRDefault="00555920">
      <w:pPr>
        <w:pStyle w:val="Standard"/>
        <w:rPr>
          <w:rFonts w:ascii="Arial" w:hAnsi="Arial" w:cs="Arial"/>
          <w:sz w:val="20"/>
          <w:szCs w:val="20"/>
        </w:rPr>
      </w:pPr>
    </w:p>
    <w:p w:rsidR="00555920" w:rsidRDefault="00B1473F">
      <w:pPr>
        <w:pStyle w:val="Standard"/>
        <w:jc w:val="both"/>
        <w:rPr>
          <w:rFonts w:ascii="Arial" w:hAnsi="Arial" w:cs="Arial"/>
          <w:b/>
          <w:bCs/>
          <w:sz w:val="20"/>
          <w:szCs w:val="20"/>
        </w:rPr>
      </w:pPr>
      <w:r>
        <w:rPr>
          <w:rFonts w:ascii="Arial" w:hAnsi="Arial" w:cs="Arial"/>
          <w:b/>
          <w:bCs/>
          <w:sz w:val="20"/>
          <w:szCs w:val="20"/>
        </w:rPr>
        <w:t xml:space="preserve">Le </w:t>
      </w:r>
      <w:r>
        <w:rPr>
          <w:rFonts w:ascii="Arial" w:hAnsi="Arial" w:cs="Arial"/>
          <w:b/>
          <w:bCs/>
          <w:sz w:val="20"/>
          <w:szCs w:val="20"/>
        </w:rPr>
        <w:t>présent contrat est conclu entre les soussignés :</w:t>
      </w:r>
    </w:p>
    <w:p w:rsidR="00555920" w:rsidRDefault="00555920">
      <w:pPr>
        <w:pStyle w:val="Textbody"/>
        <w:spacing w:after="0"/>
        <w:jc w:val="both"/>
        <w:rPr>
          <w:rFonts w:ascii="Arial" w:hAnsi="Arial" w:cs="Arial"/>
          <w:sz w:val="20"/>
          <w:szCs w:val="20"/>
        </w:rPr>
      </w:pPr>
    </w:p>
    <w:p w:rsidR="00555920" w:rsidRDefault="00B1473F">
      <w:pPr>
        <w:pStyle w:val="Standard"/>
        <w:numPr>
          <w:ilvl w:val="0"/>
          <w:numId w:val="339"/>
        </w:numPr>
        <w:jc w:val="both"/>
        <w:rPr>
          <w:rFonts w:ascii="Arial" w:hAnsi="Arial"/>
          <w:sz w:val="20"/>
          <w:szCs w:val="20"/>
        </w:rPr>
      </w:pPr>
      <w:r>
        <w:rPr>
          <w:rFonts w:ascii="Arial" w:hAnsi="Arial" w:cs="Arial"/>
          <w:sz w:val="20"/>
          <w:szCs w:val="20"/>
        </w:rPr>
        <w:t xml:space="preserve">Nom et prénom, ou dénomination du bailleur </w:t>
      </w:r>
      <w:r>
        <w:rPr>
          <w:rStyle w:val="FootnoteReference"/>
          <w:rFonts w:ascii="Arial" w:hAnsi="Arial"/>
          <w:sz w:val="20"/>
          <w:szCs w:val="20"/>
        </w:rPr>
        <w:footnoteReference w:id="1"/>
      </w:r>
      <w:r>
        <w:rPr>
          <w:rFonts w:ascii="Arial" w:hAnsi="Arial" w:cs="Arial"/>
          <w:sz w:val="20"/>
          <w:szCs w:val="20"/>
        </w:rPr>
        <w:t>:</w:t>
      </w:r>
    </w:p>
    <w:p w:rsidR="00555920" w:rsidRDefault="00B1473F">
      <w:pPr>
        <w:pStyle w:val="Standard"/>
        <w:numPr>
          <w:ilvl w:val="0"/>
          <w:numId w:val="340"/>
        </w:numPr>
        <w:jc w:val="both"/>
        <w:rPr>
          <w:rFonts w:ascii="Arial" w:hAnsi="Arial" w:cs="Arial"/>
          <w:sz w:val="20"/>
          <w:szCs w:val="20"/>
        </w:rPr>
      </w:pPr>
      <w:r>
        <w:rPr>
          <w:rFonts w:ascii="Arial" w:hAnsi="Arial" w:cs="Arial"/>
          <w:sz w:val="20"/>
          <w:szCs w:val="20"/>
        </w:rPr>
        <w:t>Domicile ou siège soc</w:t>
      </w:r>
      <w:r>
        <w:rPr>
          <w:rFonts w:ascii="Arial" w:hAnsi="Arial" w:cs="Arial"/>
          <w:sz w:val="20"/>
          <w:szCs w:val="20"/>
        </w:rPr>
        <w:t>ial du bailleur :</w:t>
      </w:r>
    </w:p>
    <w:p w:rsidR="00555920" w:rsidRDefault="00B1473F">
      <w:pPr>
        <w:pStyle w:val="Standard"/>
        <w:numPr>
          <w:ilvl w:val="0"/>
          <w:numId w:val="341"/>
        </w:numPr>
        <w:jc w:val="both"/>
        <w:rPr>
          <w:rFonts w:ascii="Arial" w:hAnsi="Arial"/>
          <w:sz w:val="20"/>
          <w:szCs w:val="20"/>
        </w:rPr>
      </w:pPr>
      <w:r>
        <w:rPr>
          <w:rFonts w:ascii="Arial" w:eastAsia="Arial" w:hAnsi="Arial" w:cs="Arial"/>
          <w:iCs/>
          <w:color w:val="000000"/>
          <w:sz w:val="20"/>
          <w:szCs w:val="20"/>
        </w:rPr>
        <w:t xml:space="preserve">Adresse e-mail du bailleur (facultatif) </w:t>
      </w:r>
      <w:r>
        <w:rPr>
          <w:rStyle w:val="FootnoteReference"/>
          <w:rFonts w:ascii="Arial" w:hAnsi="Arial"/>
          <w:sz w:val="20"/>
          <w:szCs w:val="20"/>
        </w:rPr>
        <w:footnoteReference w:id="2"/>
      </w:r>
      <w:r>
        <w:rPr>
          <w:rFonts w:ascii="Arial" w:eastAsia="Arial" w:hAnsi="Arial" w:cs="Arial"/>
          <w:iCs/>
          <w:color w:val="000000"/>
          <w:sz w:val="20"/>
          <w:szCs w:val="20"/>
        </w:rPr>
        <w:t>:</w:t>
      </w:r>
    </w:p>
    <w:p w:rsidR="00555920" w:rsidRDefault="00B1473F">
      <w:pPr>
        <w:pStyle w:val="Standard"/>
        <w:numPr>
          <w:ilvl w:val="0"/>
          <w:numId w:val="342"/>
        </w:numPr>
        <w:jc w:val="both"/>
        <w:rPr>
          <w:rFonts w:ascii="Arial" w:hAnsi="Arial"/>
          <w:sz w:val="20"/>
          <w:szCs w:val="20"/>
        </w:rPr>
      </w:pPr>
      <w:r>
        <w:rPr>
          <w:rFonts w:ascii="Arial" w:hAnsi="Arial" w:cs="Arial"/>
          <w:sz w:val="20"/>
          <w:szCs w:val="20"/>
        </w:rPr>
        <w:t xml:space="preserve">Qualité du bailleur : </w:t>
      </w:r>
      <w:r>
        <w:rPr>
          <w:rFonts w:ascii="Arial" w:eastAsia="Arial" w:hAnsi="Arial" w:cs="Arial"/>
          <w:sz w:val="20"/>
          <w:szCs w:val="20"/>
        </w:rPr>
        <w:t>□  Personne physique    □ Personne morale</w:t>
      </w:r>
    </w:p>
    <w:p w:rsidR="00555920" w:rsidRDefault="00555920">
      <w:pPr>
        <w:pStyle w:val="Standard"/>
        <w:jc w:val="both"/>
        <w:rPr>
          <w:rFonts w:ascii="Arial" w:hAnsi="Arial"/>
          <w:sz w:val="20"/>
          <w:szCs w:val="20"/>
        </w:rPr>
      </w:pPr>
    </w:p>
    <w:p w:rsidR="00555920" w:rsidRDefault="00B1473F">
      <w:pPr>
        <w:pStyle w:val="FootnoteText"/>
        <w:jc w:val="both"/>
        <w:rPr>
          <w:rFonts w:ascii="Arial" w:eastAsia="Arial" w:hAnsi="Arial" w:cs="Arial"/>
          <w:iCs/>
          <w:color w:val="000000"/>
        </w:rPr>
      </w:pPr>
      <w:r>
        <w:rPr>
          <w:rFonts w:ascii="Arial" w:eastAsia="Arial" w:hAnsi="Arial" w:cs="Arial"/>
          <w:iCs/>
          <w:color w:val="000000"/>
        </w:rPr>
        <w:t xml:space="preserve">Le cas échéant, préciser si la personne morale est une société civile constituée </w:t>
      </w:r>
      <w:r>
        <w:rPr>
          <w:rFonts w:ascii="Arial" w:eastAsia="Arial" w:hAnsi="Arial" w:cs="Arial"/>
          <w:iCs/>
          <w:color w:val="000000"/>
        </w:rPr>
        <w:t>exclusivement entre parents et alliés jusqu’au quatrième degré inclus. : □ oui   □ non</w:t>
      </w:r>
    </w:p>
    <w:p w:rsidR="00555920" w:rsidRDefault="00555920">
      <w:pPr>
        <w:pStyle w:val="FootnoteText"/>
        <w:jc w:val="both"/>
        <w:rPr>
          <w:rFonts w:ascii="Arial" w:eastAsia="Arial" w:hAnsi="Arial" w:cs="Arial"/>
          <w:iCs/>
          <w:color w:val="000000"/>
        </w:rPr>
      </w:pPr>
    </w:p>
    <w:p w:rsidR="00555920" w:rsidRDefault="00B1473F">
      <w:pPr>
        <w:pStyle w:val="Standard"/>
        <w:jc w:val="both"/>
        <w:rPr>
          <w:rFonts w:ascii="Arial" w:hAnsi="Arial"/>
          <w:sz w:val="20"/>
          <w:szCs w:val="20"/>
        </w:rPr>
      </w:pPr>
      <w:r>
        <w:rPr>
          <w:rFonts w:ascii="Arial" w:hAnsi="Arial" w:cs="Arial"/>
          <w:sz w:val="20"/>
          <w:szCs w:val="20"/>
        </w:rPr>
        <w:t xml:space="preserve">Le cas échéant, représenté par le mandataire : </w:t>
      </w:r>
      <w:r>
        <w:rPr>
          <w:rFonts w:ascii="Arial" w:eastAsia="Arial" w:hAnsi="Arial" w:cs="Arial"/>
          <w:sz w:val="20"/>
          <w:szCs w:val="20"/>
        </w:rPr>
        <w:t>□ oui   □ non</w:t>
      </w:r>
    </w:p>
    <w:p w:rsidR="00555920" w:rsidRDefault="00B1473F">
      <w:pPr>
        <w:pStyle w:val="Standard"/>
        <w:numPr>
          <w:ilvl w:val="0"/>
          <w:numId w:val="343"/>
        </w:numPr>
        <w:jc w:val="both"/>
        <w:rPr>
          <w:rFonts w:ascii="Arial" w:hAnsi="Arial" w:cs="Arial"/>
          <w:sz w:val="20"/>
          <w:szCs w:val="20"/>
        </w:rPr>
      </w:pPr>
      <w:r>
        <w:rPr>
          <w:rFonts w:ascii="Arial" w:hAnsi="Arial" w:cs="Arial"/>
          <w:sz w:val="20"/>
          <w:szCs w:val="20"/>
        </w:rPr>
        <w:t>Nom ou raison sociale et adresse du mandataire ainsi que l'activité exercée :</w:t>
      </w:r>
    </w:p>
    <w:p w:rsidR="00555920" w:rsidRDefault="00B1473F">
      <w:pPr>
        <w:pStyle w:val="Standard"/>
        <w:numPr>
          <w:ilvl w:val="0"/>
          <w:numId w:val="344"/>
        </w:numPr>
        <w:jc w:val="both"/>
        <w:rPr>
          <w:rFonts w:ascii="Arial" w:hAnsi="Arial"/>
          <w:sz w:val="20"/>
          <w:szCs w:val="20"/>
        </w:rPr>
      </w:pPr>
      <w:r>
        <w:rPr>
          <w:rFonts w:ascii="Arial" w:eastAsia="Arial" w:hAnsi="Arial" w:cs="Arial"/>
          <w:iCs/>
          <w:color w:val="000000"/>
          <w:sz w:val="20"/>
          <w:szCs w:val="20"/>
        </w:rPr>
        <w:t xml:space="preserve">N° et lieu de délivrance de </w:t>
      </w:r>
      <w:r>
        <w:rPr>
          <w:rFonts w:ascii="Arial" w:eastAsia="Arial" w:hAnsi="Arial" w:cs="Arial"/>
          <w:iCs/>
          <w:color w:val="000000"/>
          <w:sz w:val="20"/>
          <w:szCs w:val="20"/>
        </w:rPr>
        <w:t xml:space="preserve">la carte professionnelle </w:t>
      </w:r>
      <w:r>
        <w:rPr>
          <w:rStyle w:val="FootnoteReference"/>
          <w:rFonts w:ascii="Arial" w:hAnsi="Arial"/>
          <w:sz w:val="20"/>
          <w:szCs w:val="20"/>
        </w:rPr>
        <w:footnoteReference w:id="3"/>
      </w:r>
      <w:r>
        <w:rPr>
          <w:rFonts w:ascii="Arial" w:eastAsia="Arial" w:hAnsi="Arial" w:cs="Arial"/>
          <w:iCs/>
          <w:color w:val="000000"/>
          <w:sz w:val="20"/>
          <w:szCs w:val="20"/>
        </w:rPr>
        <w:t>:</w:t>
      </w:r>
    </w:p>
    <w:p w:rsidR="00555920" w:rsidRDefault="00555920">
      <w:pPr>
        <w:pStyle w:val="Standard"/>
        <w:jc w:val="right"/>
        <w:rPr>
          <w:rFonts w:ascii="Arial" w:hAnsi="Arial" w:cs="Arial"/>
          <w:b/>
          <w:bCs/>
          <w:sz w:val="20"/>
          <w:szCs w:val="20"/>
        </w:rPr>
      </w:pPr>
    </w:p>
    <w:p w:rsidR="00555920" w:rsidRDefault="00B1473F">
      <w:pPr>
        <w:pStyle w:val="Standard"/>
        <w:jc w:val="right"/>
        <w:rPr>
          <w:rFonts w:ascii="Arial" w:hAnsi="Arial"/>
          <w:sz w:val="20"/>
          <w:szCs w:val="20"/>
        </w:rPr>
      </w:pPr>
      <w:r>
        <w:rPr>
          <w:rFonts w:ascii="Arial" w:hAnsi="Arial" w:cs="Arial"/>
          <w:sz w:val="20"/>
          <w:szCs w:val="20"/>
        </w:rPr>
        <w:t xml:space="preserve">désigné(s) ci-après le </w:t>
      </w:r>
      <w:r>
        <w:rPr>
          <w:rFonts w:ascii="Arial" w:hAnsi="Arial" w:cs="Arial"/>
          <w:b/>
          <w:bCs/>
          <w:sz w:val="20"/>
          <w:szCs w:val="20"/>
        </w:rPr>
        <w:t>« bailleur»</w:t>
      </w:r>
      <w:r>
        <w:rPr>
          <w:rFonts w:ascii="Arial" w:hAnsi="Arial" w:cs="Arial"/>
          <w:sz w:val="20"/>
          <w:szCs w:val="20"/>
        </w:rPr>
        <w:t>,</w:t>
      </w:r>
    </w:p>
    <w:p w:rsidR="00555920" w:rsidRDefault="00B1473F">
      <w:pPr>
        <w:pStyle w:val="Standard"/>
        <w:jc w:val="both"/>
        <w:rPr>
          <w:rFonts w:ascii="Arial" w:eastAsia="Arial" w:hAnsi="Arial" w:cs="Arial"/>
          <w:b/>
          <w:bCs/>
          <w:color w:val="000000"/>
          <w:sz w:val="20"/>
          <w:szCs w:val="20"/>
        </w:rPr>
      </w:pPr>
      <w:r>
        <w:rPr>
          <w:rFonts w:ascii="Arial" w:eastAsia="Arial" w:hAnsi="Arial" w:cs="Arial"/>
          <w:b/>
          <w:bCs/>
          <w:color w:val="000000"/>
          <w:sz w:val="20"/>
          <w:szCs w:val="20"/>
        </w:rPr>
        <w:t>ET :</w:t>
      </w:r>
    </w:p>
    <w:p w:rsidR="00555920" w:rsidRDefault="00555920">
      <w:pPr>
        <w:pStyle w:val="Standard"/>
        <w:jc w:val="both"/>
        <w:rPr>
          <w:rFonts w:ascii="Arial" w:hAnsi="Arial" w:cs="Arial"/>
          <w:sz w:val="20"/>
          <w:szCs w:val="20"/>
        </w:rPr>
      </w:pPr>
    </w:p>
    <w:p w:rsidR="00555920" w:rsidRDefault="00B1473F">
      <w:pPr>
        <w:pStyle w:val="Standard"/>
        <w:numPr>
          <w:ilvl w:val="0"/>
          <w:numId w:val="345"/>
        </w:numPr>
        <w:jc w:val="both"/>
        <w:rPr>
          <w:rFonts w:ascii="Arial" w:eastAsia="Arial" w:hAnsi="Arial" w:cs="Arial"/>
          <w:sz w:val="20"/>
          <w:szCs w:val="20"/>
        </w:rPr>
      </w:pPr>
      <w:r>
        <w:rPr>
          <w:rFonts w:ascii="Arial" w:eastAsia="Arial" w:hAnsi="Arial" w:cs="Arial"/>
          <w:sz w:val="20"/>
          <w:szCs w:val="20"/>
        </w:rPr>
        <w:t>Nom et prénom du locataire :</w:t>
      </w:r>
    </w:p>
    <w:p w:rsidR="00555920" w:rsidRDefault="00B1473F">
      <w:pPr>
        <w:pStyle w:val="Standard"/>
        <w:numPr>
          <w:ilvl w:val="0"/>
          <w:numId w:val="346"/>
        </w:numPr>
        <w:jc w:val="both"/>
        <w:rPr>
          <w:rFonts w:ascii="Arial" w:eastAsia="Arial" w:hAnsi="Arial" w:cs="Arial"/>
          <w:sz w:val="20"/>
          <w:szCs w:val="20"/>
        </w:rPr>
      </w:pPr>
      <w:r>
        <w:rPr>
          <w:rFonts w:ascii="Arial" w:eastAsia="Arial" w:hAnsi="Arial" w:cs="Arial"/>
          <w:sz w:val="20"/>
          <w:szCs w:val="20"/>
        </w:rPr>
        <w:t>Si second locataire, nom et prénom du second locataire :</w:t>
      </w:r>
    </w:p>
    <w:p w:rsidR="00555920" w:rsidRDefault="00B1473F">
      <w:pPr>
        <w:pStyle w:val="Standard"/>
        <w:numPr>
          <w:ilvl w:val="0"/>
          <w:numId w:val="347"/>
        </w:numPr>
        <w:jc w:val="both"/>
        <w:rPr>
          <w:rFonts w:ascii="Arial" w:eastAsia="Arial" w:hAnsi="Arial" w:cs="Arial"/>
          <w:sz w:val="20"/>
          <w:szCs w:val="20"/>
        </w:rPr>
      </w:pPr>
      <w:r>
        <w:rPr>
          <w:rFonts w:ascii="Arial" w:eastAsia="Arial" w:hAnsi="Arial" w:cs="Arial"/>
          <w:sz w:val="20"/>
          <w:szCs w:val="20"/>
        </w:rPr>
        <w:t>Adresse e-mail du locataire (facultatif) :</w:t>
      </w:r>
    </w:p>
    <w:p w:rsidR="00555920" w:rsidRDefault="00B1473F">
      <w:pPr>
        <w:pStyle w:val="Standard"/>
        <w:numPr>
          <w:ilvl w:val="0"/>
          <w:numId w:val="348"/>
        </w:numPr>
        <w:jc w:val="both"/>
        <w:rPr>
          <w:rFonts w:ascii="Arial" w:eastAsia="Arial" w:hAnsi="Arial" w:cs="Arial"/>
          <w:color w:val="000000"/>
          <w:sz w:val="20"/>
          <w:szCs w:val="20"/>
        </w:rPr>
      </w:pPr>
      <w:r>
        <w:rPr>
          <w:rFonts w:ascii="Arial" w:eastAsia="Arial" w:hAnsi="Arial" w:cs="Arial"/>
          <w:color w:val="000000"/>
          <w:sz w:val="20"/>
          <w:szCs w:val="20"/>
        </w:rPr>
        <w:t>Adresse e-mail du second locataire</w:t>
      </w:r>
      <w:r>
        <w:rPr>
          <w:rFonts w:ascii="Arial" w:eastAsia="Arial" w:hAnsi="Arial" w:cs="Arial"/>
          <w:color w:val="000000"/>
          <w:sz w:val="20"/>
          <w:szCs w:val="20"/>
        </w:rPr>
        <w:t xml:space="preserve"> (facultatif) :</w:t>
      </w:r>
    </w:p>
    <w:p w:rsidR="00555920" w:rsidRDefault="00B1473F">
      <w:pPr>
        <w:pStyle w:val="Standard"/>
        <w:numPr>
          <w:ilvl w:val="0"/>
          <w:numId w:val="349"/>
        </w:numPr>
        <w:jc w:val="both"/>
        <w:rPr>
          <w:rFonts w:ascii="Arial" w:hAnsi="Arial" w:cs="Arial"/>
          <w:sz w:val="20"/>
          <w:szCs w:val="20"/>
        </w:rPr>
      </w:pPr>
      <w:r>
        <w:rPr>
          <w:rFonts w:ascii="Arial" w:hAnsi="Arial" w:cs="Arial"/>
          <w:sz w:val="20"/>
          <w:szCs w:val="20"/>
        </w:rPr>
        <w:t>Le cas échéant, nom et adresse du garant :</w:t>
      </w:r>
    </w:p>
    <w:p w:rsidR="00555920" w:rsidRDefault="00555920">
      <w:pPr>
        <w:pStyle w:val="Standard"/>
        <w:jc w:val="right"/>
        <w:rPr>
          <w:rFonts w:ascii="Arial" w:hAnsi="Arial" w:cs="Arial"/>
          <w:sz w:val="20"/>
          <w:szCs w:val="20"/>
        </w:rPr>
      </w:pPr>
    </w:p>
    <w:p w:rsidR="00555920" w:rsidRDefault="00B1473F">
      <w:pPr>
        <w:pStyle w:val="Standard"/>
        <w:jc w:val="right"/>
        <w:rPr>
          <w:rFonts w:ascii="Arial" w:hAnsi="Arial"/>
          <w:sz w:val="20"/>
          <w:szCs w:val="20"/>
        </w:rPr>
      </w:pPr>
      <w:r>
        <w:rPr>
          <w:rFonts w:ascii="Arial" w:hAnsi="Arial" w:cs="Arial"/>
          <w:sz w:val="20"/>
          <w:szCs w:val="20"/>
        </w:rPr>
        <w:t xml:space="preserve">désigné(s) ci-après le </w:t>
      </w:r>
      <w:r>
        <w:rPr>
          <w:rFonts w:ascii="Arial" w:hAnsi="Arial" w:cs="Arial"/>
          <w:b/>
          <w:sz w:val="20"/>
          <w:szCs w:val="20"/>
        </w:rPr>
        <w:t>« locataire »</w:t>
      </w:r>
    </w:p>
    <w:p w:rsidR="00555920" w:rsidRDefault="00555920">
      <w:pPr>
        <w:pStyle w:val="Standard"/>
        <w:jc w:val="right"/>
        <w:rPr>
          <w:rFonts w:ascii="Arial" w:hAnsi="Arial" w:cs="Arial"/>
          <w:sz w:val="20"/>
          <w:szCs w:val="20"/>
        </w:rPr>
      </w:pPr>
    </w:p>
    <w:p w:rsidR="00555920" w:rsidRDefault="00555920">
      <w:pPr>
        <w:pStyle w:val="Standard"/>
        <w:jc w:val="right"/>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Il a été convenu ce qui suit :</w:t>
      </w:r>
    </w:p>
    <w:p w:rsidR="00555920" w:rsidRDefault="00555920">
      <w:pPr>
        <w:pStyle w:val="Standard"/>
        <w:rPr>
          <w:rFonts w:ascii="Arial" w:hAnsi="Arial" w:cs="Arial"/>
          <w:sz w:val="20"/>
          <w:szCs w:val="20"/>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II. OBJET DU CONTRAT</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Le présent contrat a pour objet la location d'un logement ainsi déterminé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A. Consistance du logement</w:t>
      </w:r>
    </w:p>
    <w:p w:rsidR="00555920" w:rsidRDefault="00555920">
      <w:pPr>
        <w:pStyle w:val="Standard"/>
        <w:jc w:val="both"/>
        <w:rPr>
          <w:rFonts w:ascii="Arial" w:hAnsi="Arial" w:cs="Arial"/>
          <w:b/>
          <w:color w:val="0066CC"/>
          <w:sz w:val="20"/>
          <w:szCs w:val="20"/>
        </w:rPr>
      </w:pPr>
    </w:p>
    <w:p w:rsidR="00555920" w:rsidRDefault="00B1473F">
      <w:pPr>
        <w:pStyle w:val="Standard"/>
        <w:numPr>
          <w:ilvl w:val="0"/>
          <w:numId w:val="350"/>
        </w:numPr>
        <w:jc w:val="both"/>
        <w:rPr>
          <w:rFonts w:ascii="Arial" w:hAnsi="Arial"/>
          <w:sz w:val="20"/>
          <w:szCs w:val="20"/>
        </w:rPr>
      </w:pPr>
      <w:r>
        <w:rPr>
          <w:rFonts w:ascii="Arial" w:hAnsi="Arial" w:cs="Arial"/>
          <w:color w:val="000000"/>
          <w:sz w:val="20"/>
          <w:szCs w:val="20"/>
        </w:rPr>
        <w:t>Localisation du logement (adresse</w:t>
      </w:r>
      <w:r>
        <w:rPr>
          <w:rFonts w:ascii="Arial" w:hAnsi="Arial" w:cs="Arial"/>
          <w:color w:val="000000"/>
          <w:sz w:val="20"/>
          <w:szCs w:val="20"/>
          <w:lang w:val="en-US"/>
        </w:rPr>
        <w:t xml:space="preserve">, </w:t>
      </w:r>
      <w:r>
        <w:rPr>
          <w:rFonts w:ascii="Arial" w:hAnsi="Arial" w:cs="Arial"/>
          <w:color w:val="000000"/>
          <w:sz w:val="20"/>
          <w:szCs w:val="20"/>
        </w:rPr>
        <w:t>bâtiment, étage, porte, etc.) :</w:t>
      </w:r>
    </w:p>
    <w:p w:rsidR="00555920" w:rsidRDefault="00B1473F">
      <w:pPr>
        <w:pStyle w:val="Standard"/>
        <w:numPr>
          <w:ilvl w:val="0"/>
          <w:numId w:val="351"/>
        </w:numPr>
        <w:jc w:val="both"/>
        <w:rPr>
          <w:rFonts w:ascii="Arial" w:hAnsi="Arial" w:cs="Arial"/>
          <w:color w:val="000000"/>
          <w:sz w:val="20"/>
          <w:szCs w:val="20"/>
        </w:rPr>
      </w:pPr>
      <w:r>
        <w:rPr>
          <w:rFonts w:ascii="Arial" w:hAnsi="Arial" w:cs="Arial"/>
          <w:color w:val="000000"/>
          <w:sz w:val="20"/>
          <w:szCs w:val="20"/>
        </w:rPr>
        <w:t>Identifiant fiscal du logement :</w:t>
      </w:r>
    </w:p>
    <w:p w:rsidR="00555920" w:rsidRDefault="00B1473F">
      <w:pPr>
        <w:pStyle w:val="Standard"/>
        <w:numPr>
          <w:ilvl w:val="0"/>
          <w:numId w:val="352"/>
        </w:numPr>
        <w:jc w:val="both"/>
        <w:rPr>
          <w:rFonts w:ascii="Arial" w:hAnsi="Arial"/>
          <w:sz w:val="20"/>
          <w:szCs w:val="20"/>
        </w:rPr>
      </w:pPr>
      <w:r>
        <w:rPr>
          <w:rFonts w:ascii="Arial" w:hAnsi="Arial" w:cs="Arial"/>
          <w:sz w:val="20"/>
          <w:szCs w:val="20"/>
        </w:rPr>
        <w:t xml:space="preserve">Type d’habitat : </w:t>
      </w:r>
      <w:r>
        <w:rPr>
          <w:rFonts w:ascii="Arial" w:eastAsia="Arial" w:hAnsi="Arial" w:cs="Arial"/>
          <w:sz w:val="20"/>
          <w:szCs w:val="20"/>
        </w:rPr>
        <w:t xml:space="preserve">□ immeuble </w:t>
      </w:r>
      <w:r>
        <w:rPr>
          <w:rFonts w:ascii="Arial" w:hAnsi="Arial" w:cs="Arial"/>
          <w:sz w:val="20"/>
          <w:szCs w:val="20"/>
        </w:rPr>
        <w:t xml:space="preserve">collectif  </w:t>
      </w:r>
      <w:r>
        <w:rPr>
          <w:rFonts w:ascii="Arial" w:eastAsia="Arial" w:hAnsi="Arial" w:cs="Arial"/>
          <w:sz w:val="20"/>
          <w:szCs w:val="20"/>
        </w:rPr>
        <w:t xml:space="preserve">□ </w:t>
      </w:r>
      <w:r>
        <w:rPr>
          <w:rFonts w:ascii="Arial" w:hAnsi="Arial" w:cs="Arial"/>
          <w:sz w:val="20"/>
          <w:szCs w:val="20"/>
        </w:rPr>
        <w:t>individuel</w:t>
      </w:r>
    </w:p>
    <w:p w:rsidR="00555920" w:rsidRDefault="00B1473F">
      <w:pPr>
        <w:pStyle w:val="Standard"/>
        <w:numPr>
          <w:ilvl w:val="0"/>
          <w:numId w:val="353"/>
        </w:numPr>
        <w:jc w:val="both"/>
        <w:rPr>
          <w:rFonts w:ascii="Arial" w:hAnsi="Arial"/>
          <w:sz w:val="20"/>
          <w:szCs w:val="20"/>
        </w:rPr>
      </w:pPr>
      <w:r>
        <w:rPr>
          <w:rFonts w:ascii="Arial" w:hAnsi="Arial" w:cs="Arial"/>
          <w:color w:val="000000"/>
          <w:sz w:val="20"/>
          <w:szCs w:val="20"/>
        </w:rPr>
        <w:t>Régime juridique de l'immeuble :</w:t>
      </w:r>
      <w:r>
        <w:rPr>
          <w:rFonts w:ascii="Arial" w:eastAsia="Arial" w:hAnsi="Arial" w:cs="Arial"/>
          <w:sz w:val="20"/>
          <w:szCs w:val="20"/>
        </w:rPr>
        <w:t xml:space="preserve"> □ mono propriété    □ copropriété</w:t>
      </w:r>
    </w:p>
    <w:p w:rsidR="00555920" w:rsidRDefault="00B1473F">
      <w:pPr>
        <w:pStyle w:val="Standard"/>
        <w:numPr>
          <w:ilvl w:val="0"/>
          <w:numId w:val="354"/>
        </w:numPr>
        <w:jc w:val="both"/>
        <w:rPr>
          <w:rFonts w:ascii="Arial" w:hAnsi="Arial"/>
          <w:sz w:val="20"/>
          <w:szCs w:val="20"/>
        </w:rPr>
      </w:pPr>
      <w:r>
        <w:rPr>
          <w:rFonts w:ascii="Arial" w:hAnsi="Arial" w:cs="Arial"/>
          <w:sz w:val="20"/>
          <w:szCs w:val="20"/>
        </w:rPr>
        <w:t xml:space="preserve">Période de construction : </w:t>
      </w:r>
      <w:r>
        <w:rPr>
          <w:rFonts w:ascii="Arial" w:eastAsia="Arial" w:hAnsi="Arial" w:cs="Arial"/>
          <w:sz w:val="20"/>
          <w:szCs w:val="20"/>
        </w:rPr>
        <w:t xml:space="preserve">□ </w:t>
      </w:r>
      <w:r>
        <w:rPr>
          <w:rFonts w:ascii="Arial" w:hAnsi="Arial" w:cs="Arial"/>
          <w:sz w:val="20"/>
          <w:szCs w:val="20"/>
        </w:rPr>
        <w:t xml:space="preserve">avant 1949 </w:t>
      </w:r>
      <w:r>
        <w:rPr>
          <w:rFonts w:ascii="Arial" w:eastAsia="Arial" w:hAnsi="Arial" w:cs="Arial"/>
          <w:sz w:val="20"/>
          <w:szCs w:val="20"/>
        </w:rPr>
        <w:t xml:space="preserve">□ </w:t>
      </w:r>
      <w:r>
        <w:rPr>
          <w:rFonts w:ascii="Arial" w:hAnsi="Arial" w:cs="Arial"/>
          <w:sz w:val="20"/>
          <w:szCs w:val="20"/>
        </w:rPr>
        <w:t xml:space="preserve">de 1949 à 1974 </w:t>
      </w:r>
      <w:r>
        <w:rPr>
          <w:rFonts w:ascii="Arial" w:eastAsia="Arial" w:hAnsi="Arial" w:cs="Arial"/>
          <w:sz w:val="20"/>
          <w:szCs w:val="20"/>
        </w:rPr>
        <w:t xml:space="preserve">□ </w:t>
      </w:r>
      <w:r>
        <w:rPr>
          <w:rFonts w:ascii="Arial" w:hAnsi="Arial" w:cs="Arial"/>
          <w:sz w:val="20"/>
          <w:szCs w:val="20"/>
        </w:rPr>
        <w:t xml:space="preserve">de 1975 à 1989 </w:t>
      </w:r>
      <w:r>
        <w:rPr>
          <w:rFonts w:ascii="Arial" w:eastAsia="Arial" w:hAnsi="Arial" w:cs="Arial"/>
          <w:sz w:val="20"/>
          <w:szCs w:val="20"/>
        </w:rPr>
        <w:t xml:space="preserve">□ </w:t>
      </w:r>
      <w:r>
        <w:rPr>
          <w:rFonts w:ascii="Arial" w:hAnsi="Arial" w:cs="Arial"/>
          <w:sz w:val="20"/>
          <w:szCs w:val="20"/>
        </w:rPr>
        <w:t xml:space="preserve">de 1989 à 2005 </w:t>
      </w:r>
      <w:r>
        <w:rPr>
          <w:rFonts w:ascii="Arial" w:eastAsia="Arial" w:hAnsi="Arial" w:cs="Arial"/>
          <w:sz w:val="20"/>
          <w:szCs w:val="20"/>
        </w:rPr>
        <w:t xml:space="preserve">□ </w:t>
      </w:r>
      <w:r>
        <w:rPr>
          <w:rFonts w:ascii="Arial" w:hAnsi="Arial" w:cs="Arial"/>
          <w:sz w:val="20"/>
          <w:szCs w:val="20"/>
        </w:rPr>
        <w:t>depuis 2005</w:t>
      </w:r>
    </w:p>
    <w:p w:rsidR="00555920" w:rsidRDefault="00B1473F">
      <w:pPr>
        <w:pStyle w:val="Standard"/>
        <w:numPr>
          <w:ilvl w:val="0"/>
          <w:numId w:val="355"/>
        </w:numPr>
        <w:jc w:val="both"/>
        <w:rPr>
          <w:rFonts w:ascii="Arial" w:hAnsi="Arial"/>
          <w:sz w:val="20"/>
          <w:szCs w:val="20"/>
        </w:rPr>
      </w:pPr>
      <w:r>
        <w:rPr>
          <w:rFonts w:ascii="Arial" w:hAnsi="Arial" w:cs="Arial"/>
          <w:sz w:val="20"/>
          <w:szCs w:val="20"/>
        </w:rPr>
        <w:t>Surface habitable (m</w:t>
      </w:r>
      <w:r>
        <w:rPr>
          <w:rFonts w:ascii="Arial" w:hAnsi="Arial" w:cs="Arial"/>
          <w:sz w:val="20"/>
          <w:szCs w:val="20"/>
          <w:vertAlign w:val="superscript"/>
        </w:rPr>
        <w:t>2</w:t>
      </w:r>
      <w:r>
        <w:rPr>
          <w:rFonts w:ascii="Arial" w:hAnsi="Arial" w:cs="Arial"/>
          <w:sz w:val="20"/>
          <w:szCs w:val="20"/>
        </w:rPr>
        <w:t>):</w:t>
      </w:r>
    </w:p>
    <w:p w:rsidR="00555920" w:rsidRDefault="00B1473F">
      <w:pPr>
        <w:pStyle w:val="Standard"/>
        <w:numPr>
          <w:ilvl w:val="0"/>
          <w:numId w:val="356"/>
        </w:numPr>
        <w:jc w:val="both"/>
        <w:rPr>
          <w:rFonts w:ascii="Arial" w:hAnsi="Arial" w:cs="Arial"/>
          <w:sz w:val="20"/>
          <w:szCs w:val="20"/>
        </w:rPr>
      </w:pPr>
      <w:r>
        <w:rPr>
          <w:rFonts w:ascii="Arial" w:hAnsi="Arial" w:cs="Arial"/>
          <w:sz w:val="20"/>
          <w:szCs w:val="20"/>
        </w:rPr>
        <w:t>Nombre de pièces principales :</w:t>
      </w:r>
    </w:p>
    <w:p w:rsidR="00555920" w:rsidRDefault="00B1473F">
      <w:pPr>
        <w:pStyle w:val="Standard"/>
        <w:numPr>
          <w:ilvl w:val="0"/>
          <w:numId w:val="43"/>
        </w:numPr>
        <w:jc w:val="both"/>
        <w:rPr>
          <w:rFonts w:ascii="Arial" w:hAnsi="Arial"/>
          <w:sz w:val="20"/>
          <w:szCs w:val="20"/>
        </w:rPr>
      </w:pPr>
      <w:r>
        <w:rPr>
          <w:rFonts w:ascii="Arial" w:hAnsi="Arial" w:cs="Arial"/>
          <w:sz w:val="20"/>
          <w:szCs w:val="20"/>
        </w:rPr>
        <w:t xml:space="preserve">Le cas échéant, autres parties du logement : </w:t>
      </w:r>
      <w:r>
        <w:rPr>
          <w:rFonts w:ascii="Arial" w:eastAsia="Arial" w:hAnsi="Arial" w:cs="Arial"/>
          <w:sz w:val="20"/>
          <w:szCs w:val="20"/>
        </w:rPr>
        <w:t xml:space="preserve">□ </w:t>
      </w:r>
      <w:r>
        <w:rPr>
          <w:rFonts w:ascii="Arial" w:hAnsi="Arial" w:cs="Arial"/>
          <w:sz w:val="20"/>
          <w:szCs w:val="20"/>
        </w:rPr>
        <w:t xml:space="preserve">grenier  </w:t>
      </w:r>
      <w:r>
        <w:rPr>
          <w:rFonts w:ascii="Arial" w:eastAsia="Arial" w:hAnsi="Arial" w:cs="Arial"/>
          <w:sz w:val="20"/>
          <w:szCs w:val="20"/>
        </w:rPr>
        <w:t>□</w:t>
      </w:r>
      <w:r>
        <w:rPr>
          <w:rFonts w:ascii="Arial" w:hAnsi="Arial" w:cs="Arial"/>
          <w:sz w:val="20"/>
          <w:szCs w:val="20"/>
        </w:rPr>
        <w:t xml:space="preserve"> comb</w:t>
      </w:r>
      <w:r>
        <w:rPr>
          <w:rFonts w:ascii="Arial" w:hAnsi="Arial" w:cs="Arial"/>
          <w:sz w:val="20"/>
          <w:szCs w:val="20"/>
        </w:rPr>
        <w:t xml:space="preserve">le </w:t>
      </w:r>
      <w:r>
        <w:rPr>
          <w:rFonts w:ascii="Arial" w:hAnsi="Arial" w:cs="Arial"/>
          <w:color w:val="000000"/>
          <w:sz w:val="20"/>
          <w:szCs w:val="20"/>
        </w:rPr>
        <w:t>aménagés</w:t>
      </w:r>
      <w:r>
        <w:rPr>
          <w:rFonts w:ascii="Arial" w:hAnsi="Arial" w:cs="Arial"/>
          <w:sz w:val="20"/>
          <w:szCs w:val="20"/>
        </w:rPr>
        <w:t xml:space="preserve"> </w:t>
      </w:r>
      <w:r>
        <w:rPr>
          <w:rFonts w:ascii="Arial" w:eastAsia="Arial" w:hAnsi="Arial" w:cs="Arial"/>
          <w:sz w:val="20"/>
          <w:szCs w:val="20"/>
        </w:rPr>
        <w:t>□</w:t>
      </w:r>
      <w:r>
        <w:rPr>
          <w:rFonts w:ascii="Arial" w:hAnsi="Arial" w:cs="Arial"/>
          <w:sz w:val="20"/>
          <w:szCs w:val="20"/>
        </w:rPr>
        <w:t xml:space="preserve"> terrasse  </w:t>
      </w:r>
      <w:r>
        <w:rPr>
          <w:rFonts w:ascii="Arial" w:eastAsia="Arial" w:hAnsi="Arial" w:cs="Arial"/>
          <w:sz w:val="20"/>
          <w:szCs w:val="20"/>
        </w:rPr>
        <w:t>□</w:t>
      </w:r>
      <w:r>
        <w:rPr>
          <w:rFonts w:ascii="Arial" w:hAnsi="Arial" w:cs="Arial"/>
          <w:sz w:val="20"/>
          <w:szCs w:val="20"/>
        </w:rPr>
        <w:t xml:space="preserve"> balcon  </w:t>
      </w:r>
      <w:r>
        <w:rPr>
          <w:rFonts w:ascii="Arial" w:eastAsia="Arial" w:hAnsi="Arial" w:cs="Arial"/>
          <w:sz w:val="20"/>
          <w:szCs w:val="20"/>
        </w:rPr>
        <w:t>□</w:t>
      </w:r>
      <w:r>
        <w:rPr>
          <w:rFonts w:ascii="Arial" w:hAnsi="Arial" w:cs="Arial"/>
          <w:sz w:val="20"/>
          <w:szCs w:val="20"/>
        </w:rPr>
        <w:t xml:space="preserve"> loggia  </w:t>
      </w:r>
      <w:r>
        <w:rPr>
          <w:rFonts w:ascii="Arial" w:eastAsia="Arial" w:hAnsi="Arial" w:cs="Arial"/>
          <w:sz w:val="20"/>
          <w:szCs w:val="20"/>
        </w:rPr>
        <w:t>□</w:t>
      </w:r>
      <w:r>
        <w:rPr>
          <w:rFonts w:ascii="Arial" w:hAnsi="Arial" w:cs="Arial"/>
          <w:sz w:val="20"/>
          <w:szCs w:val="20"/>
        </w:rPr>
        <w:t xml:space="preserve"> jardin </w:t>
      </w:r>
      <w:r>
        <w:rPr>
          <w:rFonts w:ascii="Arial" w:eastAsia="Arial" w:hAnsi="Arial" w:cs="Arial"/>
          <w:sz w:val="20"/>
          <w:szCs w:val="20"/>
        </w:rPr>
        <w:t>□ Autres :</w:t>
      </w:r>
    </w:p>
    <w:p w:rsidR="00555920" w:rsidRDefault="00B1473F">
      <w:pPr>
        <w:pStyle w:val="Standard"/>
        <w:numPr>
          <w:ilvl w:val="0"/>
          <w:numId w:val="43"/>
        </w:numPr>
        <w:jc w:val="both"/>
        <w:rPr>
          <w:rFonts w:ascii="Arial" w:hAnsi="Arial" w:cs="Arial"/>
          <w:color w:val="000000"/>
          <w:sz w:val="20"/>
          <w:szCs w:val="20"/>
        </w:rPr>
      </w:pPr>
      <w:r>
        <w:rPr>
          <w:rFonts w:ascii="Arial" w:hAnsi="Arial" w:cs="Arial"/>
          <w:color w:val="000000"/>
          <w:sz w:val="20"/>
          <w:szCs w:val="20"/>
        </w:rPr>
        <w:t>Le cas échéant, Éléments d'équipements du logement (exemples : cuisine équipée, détail des installations sanitaires etc.) :</w:t>
      </w:r>
    </w:p>
    <w:p w:rsidR="00555920" w:rsidRDefault="00B1473F">
      <w:pPr>
        <w:pStyle w:val="Standard"/>
        <w:numPr>
          <w:ilvl w:val="0"/>
          <w:numId w:val="43"/>
        </w:numPr>
        <w:jc w:val="both"/>
        <w:rPr>
          <w:rFonts w:ascii="Arial" w:hAnsi="Arial"/>
          <w:sz w:val="20"/>
          <w:szCs w:val="20"/>
        </w:rPr>
      </w:pPr>
      <w:r>
        <w:rPr>
          <w:rFonts w:ascii="Arial" w:hAnsi="Arial" w:cs="Arial"/>
          <w:sz w:val="20"/>
          <w:szCs w:val="20"/>
        </w:rPr>
        <w:t xml:space="preserve">Modalité de production de chauffage </w:t>
      </w:r>
      <w:r>
        <w:rPr>
          <w:rStyle w:val="FootnoteReference"/>
          <w:rFonts w:ascii="Arial" w:hAnsi="Arial"/>
          <w:sz w:val="20"/>
          <w:szCs w:val="20"/>
        </w:rPr>
        <w:footnoteReference w:id="4"/>
      </w:r>
      <w:r>
        <w:rPr>
          <w:rFonts w:ascii="Arial" w:hAnsi="Arial" w:cs="Arial"/>
          <w:sz w:val="20"/>
          <w:szCs w:val="20"/>
        </w:rPr>
        <w:t xml:space="preserve">: </w:t>
      </w:r>
      <w:r>
        <w:rPr>
          <w:rFonts w:ascii="Arial" w:eastAsia="Arial" w:hAnsi="Arial" w:cs="Arial"/>
          <w:sz w:val="20"/>
          <w:szCs w:val="20"/>
        </w:rPr>
        <w:t xml:space="preserve">□ </w:t>
      </w:r>
      <w:r>
        <w:rPr>
          <w:rFonts w:ascii="Arial" w:hAnsi="Arial" w:cs="Arial"/>
          <w:sz w:val="20"/>
          <w:szCs w:val="20"/>
        </w:rPr>
        <w:t xml:space="preserve">individuel  </w:t>
      </w:r>
      <w:r>
        <w:rPr>
          <w:rFonts w:ascii="Arial" w:eastAsia="Arial" w:hAnsi="Arial" w:cs="Arial"/>
          <w:sz w:val="20"/>
          <w:szCs w:val="20"/>
        </w:rPr>
        <w:t>□</w:t>
      </w:r>
      <w:r>
        <w:rPr>
          <w:rFonts w:ascii="Arial" w:hAnsi="Arial" w:cs="Arial"/>
          <w:sz w:val="20"/>
          <w:szCs w:val="20"/>
        </w:rPr>
        <w:t xml:space="preserve"> </w:t>
      </w:r>
      <w:r>
        <w:rPr>
          <w:rFonts w:ascii="Arial" w:hAnsi="Arial" w:cs="Arial"/>
          <w:color w:val="000000"/>
          <w:sz w:val="20"/>
          <w:szCs w:val="20"/>
        </w:rPr>
        <w:t>collectif</w:t>
      </w:r>
    </w:p>
    <w:p w:rsidR="00555920" w:rsidRDefault="00B1473F">
      <w:pPr>
        <w:pStyle w:val="Standard"/>
        <w:jc w:val="both"/>
        <w:rPr>
          <w:rFonts w:ascii="Arial" w:hAnsi="Arial" w:cs="Arial"/>
          <w:sz w:val="20"/>
          <w:szCs w:val="20"/>
        </w:rPr>
      </w:pPr>
      <w:r>
        <w:rPr>
          <w:rFonts w:ascii="Arial" w:hAnsi="Arial" w:cs="Arial"/>
          <w:sz w:val="20"/>
          <w:szCs w:val="20"/>
        </w:rPr>
        <w:tab/>
        <w:t>Si collectif, préciser les modalités de répartition de la consommation du locataire :</w:t>
      </w:r>
    </w:p>
    <w:p w:rsidR="00555920" w:rsidRDefault="00B1473F">
      <w:pPr>
        <w:pStyle w:val="Standard"/>
        <w:numPr>
          <w:ilvl w:val="0"/>
          <w:numId w:val="43"/>
        </w:numPr>
        <w:jc w:val="both"/>
        <w:rPr>
          <w:rFonts w:ascii="Arial" w:hAnsi="Arial"/>
          <w:sz w:val="20"/>
          <w:szCs w:val="20"/>
        </w:rPr>
      </w:pPr>
      <w:r>
        <w:rPr>
          <w:rFonts w:ascii="Arial" w:hAnsi="Arial" w:cs="Arial"/>
          <w:sz w:val="20"/>
          <w:szCs w:val="20"/>
        </w:rPr>
        <w:t xml:space="preserve">Modalité de production d’eau chaude sanitaire </w:t>
      </w:r>
      <w:r>
        <w:rPr>
          <w:rStyle w:val="FootnoteReference"/>
          <w:rFonts w:ascii="Arial" w:hAnsi="Arial"/>
          <w:sz w:val="20"/>
          <w:szCs w:val="20"/>
        </w:rPr>
        <w:footnoteReference w:id="5"/>
      </w:r>
      <w:r>
        <w:rPr>
          <w:rFonts w:ascii="Arial" w:hAnsi="Arial" w:cs="Arial"/>
          <w:sz w:val="20"/>
          <w:szCs w:val="20"/>
        </w:rPr>
        <w:t>:</w:t>
      </w:r>
      <w:r>
        <w:rPr>
          <w:rFonts w:ascii="Arial" w:hAnsi="Arial" w:cs="Arial"/>
          <w:color w:val="000000"/>
          <w:sz w:val="20"/>
          <w:szCs w:val="20"/>
        </w:rPr>
        <w:t xml:space="preserve"> </w:t>
      </w:r>
      <w:r>
        <w:rPr>
          <w:rFonts w:ascii="Arial" w:eastAsia="Arial" w:hAnsi="Arial" w:cs="Arial"/>
          <w:color w:val="000000"/>
          <w:sz w:val="20"/>
          <w:szCs w:val="20"/>
        </w:rPr>
        <w:t xml:space="preserve">□ </w:t>
      </w:r>
      <w:r>
        <w:rPr>
          <w:rFonts w:ascii="Arial" w:hAnsi="Arial" w:cs="Arial"/>
          <w:color w:val="000000"/>
          <w:sz w:val="20"/>
          <w:szCs w:val="20"/>
        </w:rPr>
        <w:t xml:space="preserve">individuel  </w:t>
      </w:r>
      <w:r>
        <w:rPr>
          <w:rFonts w:ascii="Arial" w:eastAsia="Arial" w:hAnsi="Arial" w:cs="Arial"/>
          <w:color w:val="000000"/>
          <w:sz w:val="20"/>
          <w:szCs w:val="20"/>
        </w:rPr>
        <w:t>□</w:t>
      </w:r>
      <w:r>
        <w:rPr>
          <w:rFonts w:ascii="Arial" w:hAnsi="Arial" w:cs="Arial"/>
          <w:color w:val="000000"/>
          <w:sz w:val="20"/>
          <w:szCs w:val="20"/>
        </w:rPr>
        <w:t xml:space="preserve"> collectif</w:t>
      </w:r>
    </w:p>
    <w:p w:rsidR="00555920" w:rsidRDefault="00B1473F">
      <w:pPr>
        <w:pStyle w:val="Standard"/>
        <w:jc w:val="both"/>
        <w:rPr>
          <w:rFonts w:ascii="Arial" w:hAnsi="Arial" w:cs="Arial"/>
          <w:sz w:val="20"/>
          <w:szCs w:val="20"/>
        </w:rPr>
      </w:pPr>
      <w:r>
        <w:rPr>
          <w:rFonts w:ascii="Arial" w:hAnsi="Arial" w:cs="Arial"/>
          <w:sz w:val="20"/>
          <w:szCs w:val="20"/>
        </w:rPr>
        <w:tab/>
        <w:t>Si collectif, préciser les modalités de répartition de la consommation du locataire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sz w:val="20"/>
          <w:szCs w:val="20"/>
        </w:rPr>
        <w:t>Rappel : un logement décent doit respecter les critères mi</w:t>
      </w:r>
      <w:r>
        <w:rPr>
          <w:rFonts w:ascii="Arial" w:hAnsi="Arial"/>
          <w:sz w:val="20"/>
          <w:szCs w:val="20"/>
        </w:rPr>
        <w:t>nimaux de performance suivants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sz w:val="20"/>
          <w:szCs w:val="20"/>
        </w:rPr>
        <w:t>a) En France métropolitaine :</w:t>
      </w:r>
    </w:p>
    <w:p w:rsidR="00555920" w:rsidRDefault="00B1473F">
      <w:pPr>
        <w:pStyle w:val="Standard"/>
        <w:numPr>
          <w:ilvl w:val="0"/>
          <w:numId w:val="357"/>
        </w:numPr>
        <w:jc w:val="both"/>
        <w:rPr>
          <w:rFonts w:ascii="Arial" w:hAnsi="Arial"/>
          <w:sz w:val="20"/>
          <w:szCs w:val="20"/>
        </w:rPr>
      </w:pPr>
      <w:r>
        <w:rPr>
          <w:rFonts w:ascii="Arial" w:hAnsi="Arial"/>
          <w:sz w:val="20"/>
          <w:szCs w:val="20"/>
        </w:rPr>
        <w:t>À compter du 1er janvier 2025, le niveau de performance minimal du logement correspond à la classe F du DPE</w:t>
      </w:r>
    </w:p>
    <w:p w:rsidR="00555920" w:rsidRDefault="00B1473F">
      <w:pPr>
        <w:pStyle w:val="Standard"/>
        <w:numPr>
          <w:ilvl w:val="0"/>
          <w:numId w:val="358"/>
        </w:numPr>
        <w:jc w:val="both"/>
        <w:rPr>
          <w:rFonts w:ascii="Arial" w:hAnsi="Arial"/>
          <w:sz w:val="20"/>
          <w:szCs w:val="20"/>
        </w:rPr>
      </w:pPr>
      <w:r>
        <w:rPr>
          <w:rFonts w:ascii="Arial" w:hAnsi="Arial"/>
          <w:sz w:val="20"/>
          <w:szCs w:val="20"/>
        </w:rPr>
        <w:t xml:space="preserve">À compter du 1er janvier 2028, le niveau de performance minimal du logement </w:t>
      </w:r>
      <w:r>
        <w:rPr>
          <w:rFonts w:ascii="Arial" w:hAnsi="Arial"/>
          <w:sz w:val="20"/>
          <w:szCs w:val="20"/>
        </w:rPr>
        <w:t>correspond à la classe E du DPE</w:t>
      </w:r>
    </w:p>
    <w:p w:rsidR="00555920" w:rsidRDefault="00B1473F">
      <w:pPr>
        <w:pStyle w:val="Standard"/>
        <w:numPr>
          <w:ilvl w:val="0"/>
          <w:numId w:val="227"/>
        </w:numPr>
        <w:jc w:val="both"/>
        <w:rPr>
          <w:rFonts w:ascii="Arial" w:hAnsi="Arial"/>
          <w:sz w:val="20"/>
          <w:szCs w:val="20"/>
        </w:rPr>
      </w:pPr>
      <w:r>
        <w:rPr>
          <w:rFonts w:ascii="Arial" w:hAnsi="Arial"/>
          <w:sz w:val="20"/>
          <w:szCs w:val="20"/>
        </w:rPr>
        <w:t>À compter du 1er janvier 2034, le niveau de performance minimal du logement correspond à la classe D du DPE.</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sz w:val="20"/>
          <w:szCs w:val="20"/>
        </w:rPr>
        <w:t>b) En Guadeloupe, en Martinique, en Guyane, à La Réunion et à Mayotte :</w:t>
      </w:r>
    </w:p>
    <w:p w:rsidR="00555920" w:rsidRDefault="00B1473F">
      <w:pPr>
        <w:pStyle w:val="Standard"/>
        <w:numPr>
          <w:ilvl w:val="0"/>
          <w:numId w:val="359"/>
        </w:numPr>
        <w:jc w:val="both"/>
        <w:rPr>
          <w:rFonts w:ascii="Arial" w:hAnsi="Arial"/>
          <w:sz w:val="20"/>
          <w:szCs w:val="20"/>
        </w:rPr>
      </w:pPr>
      <w:r>
        <w:rPr>
          <w:rFonts w:ascii="Arial" w:hAnsi="Arial"/>
          <w:sz w:val="20"/>
          <w:szCs w:val="20"/>
        </w:rPr>
        <w:t xml:space="preserve">À compter du 1er janvier 2028, le niveau </w:t>
      </w:r>
      <w:r>
        <w:rPr>
          <w:rFonts w:ascii="Arial" w:hAnsi="Arial"/>
          <w:sz w:val="20"/>
          <w:szCs w:val="20"/>
        </w:rPr>
        <w:t>de performance minimal du logement correspond à la classe F du DPE</w:t>
      </w:r>
    </w:p>
    <w:p w:rsidR="00555920" w:rsidRDefault="00B1473F">
      <w:pPr>
        <w:pStyle w:val="Standard"/>
        <w:numPr>
          <w:ilvl w:val="0"/>
          <w:numId w:val="360"/>
        </w:numPr>
        <w:jc w:val="both"/>
        <w:rPr>
          <w:rFonts w:ascii="Arial" w:hAnsi="Arial"/>
          <w:sz w:val="20"/>
          <w:szCs w:val="20"/>
        </w:rPr>
      </w:pPr>
      <w:r>
        <w:rPr>
          <w:rFonts w:ascii="Arial" w:hAnsi="Arial"/>
          <w:sz w:val="20"/>
          <w:szCs w:val="20"/>
        </w:rPr>
        <w:t>À compter du 1er janvier 2031, le niveau de performance minimal du logement correspond à la classe E du DPE.</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sz w:val="20"/>
          <w:szCs w:val="20"/>
        </w:rPr>
        <w:t>La consommation d'énergie finale et le niveau de performance du logement sont d</w:t>
      </w:r>
      <w:r>
        <w:rPr>
          <w:rFonts w:ascii="Arial" w:hAnsi="Arial"/>
          <w:sz w:val="20"/>
          <w:szCs w:val="20"/>
        </w:rPr>
        <w:t>éterminés selon la méthode du diagnostic de performance énergétique mentionné à l'article L. 126-26 du code de la construction et de l'habitation.</w:t>
      </w:r>
    </w:p>
    <w:p w:rsidR="00555920" w:rsidRDefault="00555920">
      <w:pPr>
        <w:pStyle w:val="Standard"/>
        <w:jc w:val="both"/>
        <w:rPr>
          <w:rFonts w:ascii="Arial" w:hAnsi="Arial"/>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Niveau de performance du logement [classe du diagnostic de performance énergétique]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B. Destination des lo</w:t>
      </w:r>
      <w:r>
        <w:rPr>
          <w:rFonts w:ascii="Arial" w:hAnsi="Arial" w:cs="Arial"/>
          <w:b/>
          <w:color w:val="0066CC"/>
          <w:sz w:val="20"/>
          <w:szCs w:val="20"/>
        </w:rPr>
        <w:t>caux :</w:t>
      </w:r>
    </w:p>
    <w:p w:rsidR="00555920" w:rsidRDefault="00555920">
      <w:pPr>
        <w:pStyle w:val="Standard"/>
        <w:jc w:val="both"/>
        <w:rPr>
          <w:rFonts w:ascii="Arial" w:hAnsi="Arial" w:cs="Arial"/>
          <w:b/>
          <w:color w:val="0066CC"/>
          <w:sz w:val="20"/>
          <w:szCs w:val="20"/>
        </w:rPr>
      </w:pP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eastAsia="MS Gothic" w:hAnsi="Arial" w:cs="Arial"/>
          <w:sz w:val="20"/>
          <w:szCs w:val="20"/>
        </w:rPr>
        <w:t xml:space="preserve"> </w:t>
      </w:r>
      <w:r>
        <w:rPr>
          <w:rFonts w:ascii="Arial" w:hAnsi="Arial" w:cs="Arial"/>
          <w:sz w:val="20"/>
          <w:szCs w:val="20"/>
        </w:rPr>
        <w:t>Usage exclusif d'habitation principale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sz w:val="20"/>
          <w:szCs w:val="20"/>
        </w:rPr>
        <w:t xml:space="preserve"> Usage mixte professionnel et habitation principale</w:t>
      </w:r>
    </w:p>
    <w:p w:rsidR="00555920" w:rsidRDefault="00555920">
      <w:pPr>
        <w:pStyle w:val="Standard"/>
        <w:jc w:val="both"/>
        <w:rPr>
          <w:rFonts w:ascii="Arial" w:hAnsi="Arial" w:cs="Arial"/>
          <w:b/>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C. Le cas échéant, Désignation des locaux et équipements accessoires de l'immeuble à usage privatif du locataire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 xml:space="preserve">garage/parking lot (n° / tantièmes </w:t>
      </w:r>
      <w:r>
        <w:rPr>
          <w:rFonts w:ascii="Arial" w:hAnsi="Arial" w:cs="Arial"/>
          <w:sz w:val="20"/>
          <w:szCs w:val="20"/>
        </w:rPr>
        <w:t>généraux) :</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cave lot n° (n° / tantièmes généraux) :</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grenier (n° / tantièmes généraux) :</w:t>
      </w:r>
    </w:p>
    <w:p w:rsidR="00555920" w:rsidRDefault="00B1473F">
      <w:pPr>
        <w:pStyle w:val="Standard"/>
        <w:jc w:val="both"/>
        <w:rPr>
          <w:rFonts w:ascii="Arial" w:hAnsi="Arial"/>
          <w:sz w:val="20"/>
          <w:szCs w:val="20"/>
        </w:rPr>
      </w:pPr>
      <w:r>
        <w:rPr>
          <w:rFonts w:ascii="Arial" w:eastAsia="Arial" w:hAnsi="Arial" w:cs="Arial"/>
          <w:sz w:val="20"/>
          <w:szCs w:val="20"/>
        </w:rPr>
        <w:t xml:space="preserve">□ </w:t>
      </w:r>
      <w:r>
        <w:rPr>
          <w:rFonts w:ascii="Arial" w:hAnsi="Arial" w:cs="Arial"/>
          <w:sz w:val="20"/>
          <w:szCs w:val="20"/>
        </w:rPr>
        <w:t>assainissement collectif</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assainissement individuel</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abri de jardin</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portail automatisé</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eastAsia="MS Gothic" w:hAnsi="Arial" w:cs="Arial"/>
          <w:sz w:val="20"/>
          <w:szCs w:val="20"/>
        </w:rPr>
        <w:t xml:space="preserve"> piscine (préciser le cas échéant le dispositif de sécurité) :</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 xml:space="preserve">citerne de gaz d’une contenance de </w:t>
      </w:r>
      <w:r>
        <w:rPr>
          <w:rFonts w:ascii="Arial" w:hAnsi="Arial" w:cs="Arial"/>
          <w:color w:val="DDDDDD"/>
          <w:sz w:val="20"/>
          <w:szCs w:val="20"/>
        </w:rPr>
        <w:t>_______</w:t>
      </w:r>
      <w:r>
        <w:rPr>
          <w:rFonts w:ascii="Arial" w:hAnsi="Arial" w:cs="Arial"/>
          <w:sz w:val="20"/>
          <w:szCs w:val="20"/>
        </w:rPr>
        <w:t>litres</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 xml:space="preserve">cuve à fuel d’une contenance de </w:t>
      </w:r>
      <w:r>
        <w:rPr>
          <w:rFonts w:ascii="Arial" w:hAnsi="Arial" w:cs="Arial"/>
          <w:color w:val="DDDDDD"/>
          <w:sz w:val="20"/>
          <w:szCs w:val="20"/>
        </w:rPr>
        <w:t>_______</w:t>
      </w:r>
      <w:r>
        <w:rPr>
          <w:rFonts w:ascii="Arial" w:hAnsi="Arial" w:cs="Arial"/>
          <w:sz w:val="20"/>
          <w:szCs w:val="20"/>
        </w:rPr>
        <w:t xml:space="preserve"> litres</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eastAsia="MS Gothic" w:hAnsi="Arial" w:cs="Arial"/>
          <w:sz w:val="20"/>
          <w:szCs w:val="20"/>
        </w:rPr>
        <w:t xml:space="preserve"> </w:t>
      </w:r>
      <w:r>
        <w:rPr>
          <w:rFonts w:ascii="Arial" w:hAnsi="Arial" w:cs="Arial"/>
          <w:sz w:val="20"/>
          <w:szCs w:val="20"/>
        </w:rPr>
        <w:t>autres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color w:val="0066CC"/>
          <w:sz w:val="20"/>
          <w:szCs w:val="20"/>
        </w:rPr>
        <w:t>D. Le cas échéant, Énumération des locaux, parties, équipements et accessoires de</w:t>
      </w:r>
      <w:r>
        <w:rPr>
          <w:rFonts w:ascii="Arial" w:hAnsi="Arial" w:cs="Arial"/>
          <w:b/>
          <w:color w:val="0066CC"/>
          <w:sz w:val="20"/>
          <w:szCs w:val="20"/>
        </w:rPr>
        <w:t xml:space="preserve"> l'immeuble à usage commun </w:t>
      </w:r>
      <w:r>
        <w:rPr>
          <w:rFonts w:ascii="Arial" w:hAnsi="Arial" w:cs="Arial"/>
          <w:color w:val="0066CC"/>
          <w:sz w:val="20"/>
          <w:szCs w:val="20"/>
        </w:rPr>
        <w:t>:</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eastAsia="MS Gothic" w:hAnsi="Arial" w:cs="Arial"/>
          <w:sz w:val="20"/>
          <w:szCs w:val="20"/>
        </w:rPr>
        <w:t xml:space="preserve"> </w:t>
      </w:r>
      <w:r>
        <w:rPr>
          <w:rFonts w:ascii="Arial" w:hAnsi="Arial" w:cs="Arial"/>
          <w:sz w:val="20"/>
          <w:szCs w:val="20"/>
        </w:rPr>
        <w:t>chauffage collectif (préciser l’énergie utilisée) </w:t>
      </w:r>
      <w:r>
        <w:rPr>
          <w:rFonts w:ascii="Arial" w:hAnsi="Arial" w:cs="Arial"/>
          <w:color w:val="DDDDDD"/>
          <w:sz w:val="20"/>
          <w:szCs w:val="20"/>
        </w:rPr>
        <w:t>:</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gardiennage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local poubelle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laverie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garage à vélo</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aire(s) de stationnement</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voie(s) de circulation privée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aire(s) et équipements de jeux</w:t>
      </w:r>
    </w:p>
    <w:p w:rsidR="00555920" w:rsidRDefault="00B1473F">
      <w:pPr>
        <w:pStyle w:val="Standard"/>
        <w:jc w:val="both"/>
        <w:rPr>
          <w:rFonts w:ascii="Arial" w:hAnsi="Arial"/>
          <w:sz w:val="20"/>
          <w:szCs w:val="20"/>
        </w:rPr>
      </w:pPr>
      <w:r>
        <w:rPr>
          <w:rFonts w:ascii="Arial" w:eastAsia="Arial" w:hAnsi="Arial" w:cs="Arial"/>
          <w:b/>
          <w:sz w:val="20"/>
          <w:szCs w:val="20"/>
        </w:rPr>
        <w:t>□</w:t>
      </w:r>
      <w:r>
        <w:rPr>
          <w:rFonts w:ascii="Arial" w:hAnsi="Arial" w:cs="Arial"/>
          <w:b/>
          <w:sz w:val="20"/>
          <w:szCs w:val="20"/>
        </w:rPr>
        <w:t xml:space="preserve"> </w:t>
      </w:r>
      <w:r>
        <w:rPr>
          <w:rFonts w:ascii="Arial" w:hAnsi="Arial" w:cs="Arial"/>
          <w:sz w:val="20"/>
          <w:szCs w:val="20"/>
        </w:rPr>
        <w:t>espaces verts</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sz w:val="20"/>
          <w:szCs w:val="20"/>
        </w:rPr>
        <w:t xml:space="preserve"> ascenseur</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b/>
          <w:sz w:val="20"/>
          <w:szCs w:val="20"/>
        </w:rPr>
        <w:t xml:space="preserve"> </w:t>
      </w:r>
      <w:r>
        <w:rPr>
          <w:rFonts w:ascii="Arial" w:hAnsi="Arial" w:cs="Arial"/>
          <w:sz w:val="20"/>
          <w:szCs w:val="20"/>
        </w:rPr>
        <w:t>interphone / porte à code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sz w:val="20"/>
          <w:szCs w:val="20"/>
        </w:rPr>
        <w:t xml:space="preserve"> antenne</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eastAsia="MS Gothic" w:hAnsi="Arial" w:cs="Arial"/>
          <w:sz w:val="20"/>
          <w:szCs w:val="20"/>
        </w:rPr>
        <w:t xml:space="preserve"> </w:t>
      </w:r>
      <w:r>
        <w:rPr>
          <w:rFonts w:ascii="Arial" w:hAnsi="Arial" w:cs="Arial"/>
          <w:sz w:val="20"/>
          <w:szCs w:val="20"/>
        </w:rPr>
        <w:t>autres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E. Le cas échéant, Équipement d'accès aux technologies de l'information et de la communication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[exemples : moda</w:t>
      </w:r>
      <w:r>
        <w:rPr>
          <w:rFonts w:ascii="Arial" w:hAnsi="Arial" w:cs="Arial"/>
          <w:sz w:val="20"/>
          <w:szCs w:val="20"/>
        </w:rPr>
        <w:t>lités de réception de la télévision dans l'immeuble, modalités de raccordement internet, etc.]</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color w:val="0066CC"/>
          <w:sz w:val="20"/>
          <w:szCs w:val="20"/>
          <w:u w:val="single"/>
        </w:rPr>
      </w:pPr>
      <w:r>
        <w:rPr>
          <w:rFonts w:ascii="Arial" w:hAnsi="Arial" w:cs="Arial"/>
          <w:b/>
          <w:color w:val="0066CC"/>
          <w:sz w:val="20"/>
          <w:szCs w:val="20"/>
          <w:u w:val="single"/>
        </w:rPr>
        <w:t>III. DATE DE PRISE D'EFFET ET DURÉE DU CONTRAT</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La durée du contrat et sa date de prise d'effet sont ainsi définies :</w:t>
      </w:r>
    </w:p>
    <w:p w:rsidR="00555920" w:rsidRDefault="00555920">
      <w:pPr>
        <w:pStyle w:val="Standard"/>
        <w:jc w:val="both"/>
        <w:rPr>
          <w:rFonts w:ascii="Arial" w:hAnsi="Arial" w:cs="Arial"/>
          <w:sz w:val="20"/>
          <w:szCs w:val="20"/>
        </w:rPr>
      </w:pPr>
    </w:p>
    <w:p w:rsidR="00555920" w:rsidRDefault="00B1473F">
      <w:pPr>
        <w:pStyle w:val="Standard"/>
        <w:rPr>
          <w:rFonts w:ascii="Arial" w:hAnsi="Arial"/>
          <w:sz w:val="20"/>
          <w:szCs w:val="20"/>
        </w:rPr>
      </w:pPr>
      <w:r>
        <w:rPr>
          <w:rFonts w:ascii="Arial" w:hAnsi="Arial"/>
          <w:b/>
          <w:bCs/>
          <w:color w:val="0066CC"/>
          <w:sz w:val="20"/>
          <w:szCs w:val="20"/>
        </w:rPr>
        <w:t xml:space="preserve">A. Date de prise d'effet du contrat </w:t>
      </w:r>
      <w:r>
        <w:rPr>
          <w:rFonts w:ascii="Arial" w:hAnsi="Arial"/>
          <w:color w:val="0066CC"/>
          <w:sz w:val="20"/>
          <w:szCs w:val="20"/>
        </w:rPr>
        <w:t>:</w:t>
      </w:r>
      <w:r>
        <w:rPr>
          <w:rFonts w:ascii="Arial" w:hAnsi="Arial"/>
          <w:sz w:val="20"/>
          <w:szCs w:val="20"/>
        </w:rPr>
        <w:t xml:space="preserve">  </w:t>
      </w:r>
      <w:r>
        <w:rPr>
          <w:rFonts w:ascii="Arial" w:hAnsi="Arial" w:cs="Arial"/>
          <w:color w:val="DDDDDD"/>
          <w:sz w:val="20"/>
          <w:szCs w:val="20"/>
        </w:rPr>
        <w:t xml:space="preserve">___ </w:t>
      </w:r>
      <w:r>
        <w:rPr>
          <w:rFonts w:ascii="Arial" w:hAnsi="Arial"/>
          <w:sz w:val="20"/>
          <w:szCs w:val="20"/>
        </w:rPr>
        <w:t xml:space="preserve">/ </w:t>
      </w:r>
      <w:r>
        <w:rPr>
          <w:rFonts w:ascii="Arial" w:hAnsi="Arial" w:cs="Arial"/>
          <w:color w:val="DDDDDD"/>
          <w:sz w:val="20"/>
          <w:szCs w:val="20"/>
        </w:rPr>
        <w:t xml:space="preserve">___ </w:t>
      </w:r>
      <w:r>
        <w:rPr>
          <w:rFonts w:ascii="Arial" w:hAnsi="Arial"/>
          <w:sz w:val="20"/>
          <w:szCs w:val="20"/>
        </w:rPr>
        <w:t xml:space="preserve">/ </w:t>
      </w:r>
      <w:r>
        <w:rPr>
          <w:rFonts w:ascii="Arial" w:hAnsi="Arial" w:cs="Arial"/>
          <w:color w:val="DDDDDD"/>
          <w:sz w:val="20"/>
          <w:szCs w:val="20"/>
        </w:rPr>
        <w:t>___</w:t>
      </w:r>
    </w:p>
    <w:p w:rsidR="00555920" w:rsidRDefault="00B1473F">
      <w:pPr>
        <w:pStyle w:val="Textbody"/>
        <w:spacing w:after="0"/>
        <w:jc w:val="both"/>
        <w:rPr>
          <w:rFonts w:ascii="Arial" w:hAnsi="Arial"/>
          <w:sz w:val="20"/>
          <w:szCs w:val="20"/>
        </w:rPr>
      </w:pPr>
      <w:r>
        <w:rPr>
          <w:rFonts w:ascii="Arial" w:hAnsi="Arial" w:cs="Arial"/>
          <w:color w:val="DDDDDD"/>
          <w:sz w:val="20"/>
          <w:szCs w:val="20"/>
        </w:rPr>
        <w:br/>
      </w:r>
      <w:r>
        <w:rPr>
          <w:rFonts w:ascii="Arial" w:hAnsi="Arial" w:cs="Arial"/>
          <w:b/>
          <w:bCs/>
          <w:color w:val="0066CC"/>
          <w:sz w:val="20"/>
          <w:szCs w:val="20"/>
        </w:rPr>
        <w:t xml:space="preserve">B. Durée du contrat </w:t>
      </w:r>
      <w:r>
        <w:rPr>
          <w:rFonts w:ascii="Arial" w:hAnsi="Arial" w:cs="Arial"/>
          <w:color w:val="0066CC"/>
          <w:sz w:val="20"/>
          <w:szCs w:val="20"/>
        </w:rPr>
        <w:t xml:space="preserve">: </w:t>
      </w:r>
      <w:r>
        <w:rPr>
          <w:rFonts w:ascii="Arial" w:hAnsi="Arial" w:cs="Arial"/>
          <w:sz w:val="20"/>
          <w:szCs w:val="20"/>
        </w:rPr>
        <w:t>[durée minimale d'un an ou de neuf mois si la location est consentie à un étudiant]</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A l'exception des locations consenties à un étudiant pour une durée de neuf mois, les contrats de location de logements meublés so</w:t>
      </w:r>
      <w:r>
        <w:rPr>
          <w:rFonts w:ascii="Arial" w:hAnsi="Arial" w:cs="Arial"/>
          <w:sz w:val="20"/>
          <w:szCs w:val="20"/>
        </w:rPr>
        <w:t>nt reconduits tacitement à leur terme pour une durée d'un an et dans les mêmes conditions. Le locataire peut mettre fin au bail à tout moment, après avoir donné congé. Le bailleur peut, quant à lui, mettre fin au bail à son échéance et après avoir donné co</w:t>
      </w:r>
      <w:r>
        <w:rPr>
          <w:rFonts w:ascii="Arial" w:hAnsi="Arial" w:cs="Arial"/>
          <w:sz w:val="20"/>
          <w:szCs w:val="20"/>
        </w:rPr>
        <w:t>ngé, soit pour reprendre le logement en vue de l'occuper lui-même ou une personne de sa famille, soit pour le vendre, soit pour un motif sérieux et légitime.</w:t>
      </w:r>
    </w:p>
    <w:p w:rsidR="00555920" w:rsidRDefault="00B1473F">
      <w:pPr>
        <w:pStyle w:val="Standard"/>
        <w:jc w:val="both"/>
        <w:rPr>
          <w:rFonts w:ascii="Arial" w:hAnsi="Arial" w:cs="Arial"/>
          <w:sz w:val="20"/>
          <w:szCs w:val="20"/>
        </w:rPr>
      </w:pPr>
      <w:r>
        <w:rPr>
          <w:rFonts w:ascii="Arial" w:hAnsi="Arial" w:cs="Arial"/>
          <w:sz w:val="20"/>
          <w:szCs w:val="20"/>
        </w:rPr>
        <w:t>Les contrats de locations meublées consenties à un étudiant pour une durée de neuf mois ne sont pa</w:t>
      </w:r>
      <w:r>
        <w:rPr>
          <w:rFonts w:ascii="Arial" w:hAnsi="Arial" w:cs="Arial"/>
          <w:sz w:val="20"/>
          <w:szCs w:val="20"/>
        </w:rPr>
        <w:t>s reconduits tacitement à leur terme et le locataire peut mettre fin au bail à tout moment, après avoir donné congé. Le bailleur peut, quant à lui, mettre fin au bail à son échéance et après avoir donné congé.</w:t>
      </w:r>
    </w:p>
    <w:p w:rsidR="00555920" w:rsidRDefault="00555920">
      <w:pPr>
        <w:pStyle w:val="Standard"/>
        <w:jc w:val="both"/>
        <w:rPr>
          <w:rFonts w:ascii="Arial" w:hAnsi="Arial" w:cs="Arial"/>
          <w:sz w:val="20"/>
          <w:szCs w:val="20"/>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IV. CONDITIONS FINANCIÈRES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Les parties convi</w:t>
      </w:r>
      <w:r>
        <w:rPr>
          <w:rFonts w:ascii="Arial" w:hAnsi="Arial" w:cs="Arial"/>
          <w:sz w:val="20"/>
          <w:szCs w:val="20"/>
        </w:rPr>
        <w:t>ennent des conditions financières suivantes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color w:val="0066CC"/>
          <w:sz w:val="20"/>
          <w:szCs w:val="20"/>
        </w:rPr>
      </w:pPr>
      <w:r>
        <w:rPr>
          <w:rFonts w:ascii="Arial" w:hAnsi="Arial" w:cs="Arial"/>
          <w:b/>
          <w:color w:val="0066CC"/>
          <w:sz w:val="20"/>
          <w:szCs w:val="20"/>
        </w:rPr>
        <w:t>A. Loyer</w:t>
      </w:r>
    </w:p>
    <w:p w:rsidR="00555920" w:rsidRDefault="00555920">
      <w:pPr>
        <w:pStyle w:val="Standard"/>
        <w:jc w:val="both"/>
        <w:rPr>
          <w:rFonts w:ascii="Arial" w:hAnsi="Arial" w:cs="Arial"/>
          <w:b/>
          <w:sz w:val="20"/>
          <w:szCs w:val="20"/>
        </w:rPr>
      </w:pPr>
    </w:p>
    <w:p w:rsidR="00555920" w:rsidRDefault="00B1473F">
      <w:pPr>
        <w:pStyle w:val="Standard"/>
        <w:jc w:val="both"/>
        <w:rPr>
          <w:rFonts w:ascii="Arial" w:hAnsi="Arial" w:cs="Arial"/>
          <w:b/>
          <w:sz w:val="20"/>
          <w:szCs w:val="20"/>
        </w:rPr>
      </w:pPr>
      <w:r>
        <w:rPr>
          <w:rFonts w:ascii="Arial" w:hAnsi="Arial" w:cs="Arial"/>
          <w:b/>
          <w:sz w:val="20"/>
          <w:szCs w:val="20"/>
        </w:rPr>
        <w:t>1° Fixation du loyer initial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sz w:val="20"/>
          <w:szCs w:val="20"/>
        </w:rPr>
        <w:t xml:space="preserve">a) Montant du loyer mensuel (€) </w:t>
      </w:r>
      <w:r>
        <w:rPr>
          <w:rStyle w:val="FootnoteReference"/>
          <w:rFonts w:ascii="Arial" w:hAnsi="Arial"/>
          <w:sz w:val="20"/>
          <w:szCs w:val="20"/>
        </w:rPr>
        <w:footnoteReference w:id="6"/>
      </w:r>
      <w:r>
        <w:rPr>
          <w:rFonts w:ascii="Arial" w:hAnsi="Arial" w:cs="Arial"/>
          <w:sz w:val="20"/>
          <w:szCs w:val="20"/>
        </w:rPr>
        <w:t>:</w:t>
      </w:r>
    </w:p>
    <w:p w:rsidR="00555920" w:rsidRDefault="00B1473F">
      <w:pPr>
        <w:pStyle w:val="Standard"/>
        <w:jc w:val="both"/>
        <w:rPr>
          <w:rFonts w:ascii="Arial" w:hAnsi="Arial"/>
          <w:sz w:val="20"/>
          <w:szCs w:val="20"/>
        </w:rPr>
      </w:pPr>
      <w:r>
        <w:rPr>
          <w:rFonts w:ascii="Arial" w:hAnsi="Arial" w:cs="Arial"/>
          <w:sz w:val="20"/>
          <w:szCs w:val="20"/>
        </w:rPr>
        <w:t xml:space="preserve">b) </w:t>
      </w:r>
      <w:r>
        <w:rPr>
          <w:rFonts w:ascii="Arial" w:hAnsi="Arial" w:cs="Arial"/>
          <w:color w:val="000000"/>
          <w:sz w:val="20"/>
          <w:szCs w:val="20"/>
        </w:rPr>
        <w:t xml:space="preserve">Le </w:t>
      </w:r>
      <w:r>
        <w:rPr>
          <w:rFonts w:ascii="Arial" w:hAnsi="Arial" w:cs="Arial"/>
          <w:color w:val="000000"/>
          <w:sz w:val="20"/>
          <w:szCs w:val="20"/>
        </w:rPr>
        <w:t xml:space="preserve">cas échéant, </w:t>
      </w:r>
      <w:r>
        <w:rPr>
          <w:rFonts w:ascii="Arial" w:hAnsi="Arial" w:cs="Arial"/>
          <w:sz w:val="20"/>
          <w:szCs w:val="20"/>
        </w:rPr>
        <w:t xml:space="preserve">Modalités particulières de fixation initiale du loyer applicables dans certaines zones tendues </w:t>
      </w:r>
      <w:r>
        <w:rPr>
          <w:rStyle w:val="FootnoteReference"/>
          <w:rFonts w:ascii="Arial" w:hAnsi="Arial"/>
          <w:sz w:val="20"/>
          <w:szCs w:val="20"/>
        </w:rPr>
        <w:footnoteReference w:id="7"/>
      </w:r>
      <w:r>
        <w:rPr>
          <w:rFonts w:ascii="Arial" w:hAnsi="Arial" w:cs="Arial"/>
          <w:sz w:val="20"/>
          <w:szCs w:val="20"/>
        </w:rPr>
        <w:t>:</w:t>
      </w:r>
    </w:p>
    <w:p w:rsidR="00555920" w:rsidRDefault="00B1473F">
      <w:pPr>
        <w:pStyle w:val="Standard"/>
        <w:numPr>
          <w:ilvl w:val="0"/>
          <w:numId w:val="361"/>
        </w:numPr>
        <w:jc w:val="both"/>
        <w:rPr>
          <w:rFonts w:ascii="Arial" w:hAnsi="Arial"/>
          <w:sz w:val="20"/>
          <w:szCs w:val="20"/>
        </w:rPr>
      </w:pPr>
      <w:r>
        <w:rPr>
          <w:rFonts w:ascii="Arial" w:hAnsi="Arial" w:cs="Arial"/>
          <w:sz w:val="20"/>
          <w:szCs w:val="20"/>
        </w:rPr>
        <w:t>le loyer du logement objet du présent contrat est soumis au décret fixant annuellement le montant maximum d'évolution des loyers à la reloc</w:t>
      </w:r>
      <w:r>
        <w:rPr>
          <w:rFonts w:ascii="Arial" w:hAnsi="Arial" w:cs="Arial"/>
          <w:sz w:val="20"/>
          <w:szCs w:val="20"/>
        </w:rPr>
        <w:t>ation :</w:t>
      </w:r>
      <w:r>
        <w:rPr>
          <w:rFonts w:ascii="Arial" w:eastAsia="Wingdings" w:hAnsi="Arial" w:cs="Arial"/>
          <w:sz w:val="20"/>
          <w:szCs w:val="20"/>
        </w:rPr>
        <w:t xml:space="preserve">   </w:t>
      </w:r>
      <w:r>
        <w:rPr>
          <w:rFonts w:ascii="Arial" w:eastAsia="Arial" w:hAnsi="Arial" w:cs="Arial"/>
          <w:sz w:val="20"/>
          <w:szCs w:val="20"/>
        </w:rPr>
        <w:t xml:space="preserve">□ </w:t>
      </w:r>
      <w:r>
        <w:rPr>
          <w:rFonts w:ascii="Arial" w:eastAsia="Wingdings" w:hAnsi="Arial" w:cs="Arial"/>
          <w:sz w:val="20"/>
          <w:szCs w:val="20"/>
        </w:rPr>
        <w:t>OUI</w:t>
      </w:r>
      <w:r>
        <w:rPr>
          <w:rFonts w:ascii="Arial" w:eastAsia="Wingdings" w:hAnsi="Arial" w:cs="Arial"/>
          <w:b/>
          <w:sz w:val="20"/>
          <w:szCs w:val="20"/>
        </w:rPr>
        <w:t xml:space="preserve">       </w:t>
      </w:r>
      <w:r>
        <w:rPr>
          <w:rFonts w:ascii="Arial" w:eastAsia="Arial" w:hAnsi="Arial" w:cs="Arial"/>
          <w:b/>
          <w:sz w:val="20"/>
          <w:szCs w:val="20"/>
        </w:rPr>
        <w:t xml:space="preserve">□ </w:t>
      </w:r>
      <w:r>
        <w:rPr>
          <w:rFonts w:ascii="Arial" w:eastAsia="Wingdings" w:hAnsi="Arial" w:cs="Arial"/>
          <w:sz w:val="20"/>
          <w:szCs w:val="20"/>
        </w:rPr>
        <w:t>NON</w:t>
      </w:r>
    </w:p>
    <w:p w:rsidR="00555920" w:rsidRDefault="00B1473F">
      <w:pPr>
        <w:pStyle w:val="Standard"/>
        <w:numPr>
          <w:ilvl w:val="0"/>
          <w:numId w:val="362"/>
        </w:numPr>
        <w:jc w:val="both"/>
        <w:rPr>
          <w:rFonts w:ascii="Arial" w:hAnsi="Arial"/>
          <w:sz w:val="20"/>
          <w:szCs w:val="20"/>
        </w:rPr>
      </w:pPr>
      <w:r>
        <w:rPr>
          <w:rFonts w:ascii="Arial" w:hAnsi="Arial" w:cs="Arial"/>
          <w:sz w:val="20"/>
          <w:szCs w:val="20"/>
        </w:rPr>
        <w:t xml:space="preserve">le loyer du logement objet du présent contrat est soumis au loyer de référence majoré fixé par arrêté préfectoral :  </w:t>
      </w:r>
      <w:r>
        <w:rPr>
          <w:rFonts w:ascii="Arial" w:eastAsia="Arial" w:hAnsi="Arial" w:cs="Arial"/>
          <w:sz w:val="20"/>
          <w:szCs w:val="20"/>
        </w:rPr>
        <w:t xml:space="preserve">□ </w:t>
      </w:r>
      <w:r>
        <w:rPr>
          <w:rFonts w:ascii="Arial" w:hAnsi="Arial" w:cs="Arial"/>
          <w:sz w:val="20"/>
          <w:szCs w:val="20"/>
        </w:rPr>
        <w:t>OUI</w:t>
      </w:r>
      <w:r>
        <w:rPr>
          <w:rFonts w:ascii="Arial" w:hAnsi="Arial" w:cs="Arial"/>
          <w:b/>
          <w:sz w:val="20"/>
          <w:szCs w:val="20"/>
        </w:rPr>
        <w:t xml:space="preserve">       </w:t>
      </w:r>
      <w:r>
        <w:rPr>
          <w:rFonts w:ascii="Arial" w:eastAsia="Arial" w:hAnsi="Arial" w:cs="Arial"/>
          <w:b/>
          <w:sz w:val="20"/>
          <w:szCs w:val="20"/>
        </w:rPr>
        <w:t xml:space="preserve">□ </w:t>
      </w:r>
      <w:r>
        <w:rPr>
          <w:rFonts w:ascii="Arial" w:hAnsi="Arial" w:cs="Arial"/>
          <w:sz w:val="20"/>
          <w:szCs w:val="20"/>
        </w:rPr>
        <w:t>NON</w:t>
      </w:r>
    </w:p>
    <w:p w:rsidR="00555920" w:rsidRDefault="00B1473F">
      <w:pPr>
        <w:pStyle w:val="Standard"/>
        <w:numPr>
          <w:ilvl w:val="0"/>
          <w:numId w:val="363"/>
        </w:numPr>
        <w:jc w:val="both"/>
        <w:rPr>
          <w:rFonts w:ascii="Arial" w:hAnsi="Arial"/>
          <w:sz w:val="20"/>
          <w:szCs w:val="20"/>
        </w:rPr>
      </w:pPr>
      <w:r>
        <w:rPr>
          <w:rFonts w:ascii="Arial" w:hAnsi="Arial" w:cs="Arial"/>
          <w:sz w:val="20"/>
          <w:szCs w:val="20"/>
        </w:rPr>
        <w:t xml:space="preserve">montant du loyer de référence : </w:t>
      </w:r>
      <w:r>
        <w:rPr>
          <w:rFonts w:ascii="Arial" w:hAnsi="Arial" w:cs="Arial"/>
          <w:color w:val="DDDDDD"/>
          <w:sz w:val="20"/>
          <w:szCs w:val="20"/>
        </w:rPr>
        <w:t>_______</w:t>
      </w:r>
      <w:r>
        <w:rPr>
          <w:rFonts w:ascii="Arial" w:hAnsi="Arial" w:cs="Arial"/>
          <w:sz w:val="20"/>
          <w:szCs w:val="20"/>
        </w:rPr>
        <w:t xml:space="preserve"> €/m² / Montant du loyer de référence majoré : </w:t>
      </w:r>
      <w:r>
        <w:rPr>
          <w:rFonts w:ascii="Arial" w:hAnsi="Arial" w:cs="Arial"/>
          <w:color w:val="DDDDDD"/>
          <w:sz w:val="20"/>
          <w:szCs w:val="20"/>
        </w:rPr>
        <w:t>_______</w:t>
      </w:r>
      <w:r>
        <w:rPr>
          <w:rFonts w:ascii="Arial" w:hAnsi="Arial" w:cs="Arial"/>
          <w:sz w:val="20"/>
          <w:szCs w:val="20"/>
        </w:rPr>
        <w:t xml:space="preserve"> €/m²</w:t>
      </w:r>
    </w:p>
    <w:p w:rsidR="00555920" w:rsidRDefault="00B1473F">
      <w:pPr>
        <w:pStyle w:val="Standard"/>
        <w:numPr>
          <w:ilvl w:val="0"/>
          <w:numId w:val="364"/>
        </w:numPr>
        <w:jc w:val="both"/>
        <w:rPr>
          <w:rFonts w:ascii="Arial" w:hAnsi="Arial"/>
          <w:sz w:val="20"/>
          <w:szCs w:val="20"/>
        </w:rPr>
      </w:pPr>
      <w:r>
        <w:rPr>
          <w:rFonts w:ascii="Arial" w:hAnsi="Arial" w:cs="Arial"/>
          <w:color w:val="000000"/>
          <w:sz w:val="20"/>
          <w:szCs w:val="20"/>
        </w:rPr>
        <w:t xml:space="preserve">le cas échéant, </w:t>
      </w:r>
      <w:r>
        <w:rPr>
          <w:rFonts w:ascii="Arial" w:hAnsi="Arial" w:cs="Arial"/>
          <w:sz w:val="20"/>
          <w:szCs w:val="20"/>
        </w:rPr>
        <w:t xml:space="preserve">complément de loyer:    </w:t>
      </w:r>
      <w:r>
        <w:rPr>
          <w:rFonts w:ascii="Arial" w:eastAsia="Arial" w:hAnsi="Arial" w:cs="Arial"/>
          <w:sz w:val="20"/>
          <w:szCs w:val="20"/>
        </w:rPr>
        <w:t xml:space="preserve">□ </w:t>
      </w:r>
      <w:r>
        <w:rPr>
          <w:rFonts w:ascii="Arial" w:hAnsi="Arial" w:cs="Arial"/>
          <w:sz w:val="20"/>
          <w:szCs w:val="20"/>
        </w:rPr>
        <w:t xml:space="preserve">OUI          </w:t>
      </w:r>
      <w:r>
        <w:rPr>
          <w:rFonts w:ascii="Arial" w:eastAsia="Arial" w:hAnsi="Arial" w:cs="Arial"/>
          <w:sz w:val="20"/>
          <w:szCs w:val="20"/>
        </w:rPr>
        <w:t>□</w:t>
      </w:r>
      <w:r>
        <w:rPr>
          <w:rFonts w:ascii="Arial" w:hAnsi="Arial" w:cs="Arial"/>
          <w:sz w:val="20"/>
          <w:szCs w:val="20"/>
        </w:rPr>
        <w:t>NON</w:t>
      </w:r>
    </w:p>
    <w:p w:rsidR="00555920" w:rsidRDefault="00B1473F">
      <w:pPr>
        <w:pStyle w:val="Standard"/>
        <w:numPr>
          <w:ilvl w:val="2"/>
          <w:numId w:val="44"/>
        </w:numPr>
        <w:jc w:val="both"/>
        <w:rPr>
          <w:rFonts w:ascii="Arial" w:hAnsi="Arial" w:cs="Arial"/>
          <w:sz w:val="20"/>
          <w:szCs w:val="20"/>
        </w:rPr>
      </w:pPr>
      <w:r>
        <w:rPr>
          <w:rFonts w:ascii="Arial" w:hAnsi="Arial" w:cs="Arial"/>
          <w:sz w:val="20"/>
          <w:szCs w:val="20"/>
        </w:rPr>
        <w:t>Loyer de base (€) :</w:t>
      </w:r>
    </w:p>
    <w:p w:rsidR="00555920" w:rsidRDefault="00B1473F">
      <w:pPr>
        <w:pStyle w:val="Standard"/>
        <w:numPr>
          <w:ilvl w:val="2"/>
          <w:numId w:val="44"/>
        </w:numPr>
        <w:jc w:val="both"/>
        <w:rPr>
          <w:rFonts w:ascii="Arial" w:hAnsi="Arial" w:cs="Arial"/>
          <w:sz w:val="20"/>
          <w:szCs w:val="20"/>
        </w:rPr>
      </w:pPr>
      <w:r>
        <w:rPr>
          <w:rFonts w:ascii="Arial" w:hAnsi="Arial" w:cs="Arial"/>
          <w:sz w:val="20"/>
          <w:szCs w:val="20"/>
        </w:rPr>
        <w:t>Complément de loyer (€) :</w:t>
      </w:r>
    </w:p>
    <w:p w:rsidR="00555920" w:rsidRDefault="00B1473F">
      <w:pPr>
        <w:pStyle w:val="Standard"/>
        <w:numPr>
          <w:ilvl w:val="2"/>
          <w:numId w:val="44"/>
        </w:numPr>
        <w:jc w:val="both"/>
        <w:rPr>
          <w:rFonts w:ascii="Arial" w:hAnsi="Arial" w:cs="Arial"/>
          <w:sz w:val="20"/>
          <w:szCs w:val="20"/>
        </w:rPr>
      </w:pPr>
      <w:r>
        <w:rPr>
          <w:rFonts w:ascii="Arial" w:hAnsi="Arial" w:cs="Arial"/>
          <w:sz w:val="20"/>
          <w:szCs w:val="20"/>
        </w:rPr>
        <w:t>Caractéristiques du logement justifiant le complément de loyer :</w:t>
      </w:r>
    </w:p>
    <w:p w:rsidR="00555920" w:rsidRDefault="00B1473F">
      <w:pPr>
        <w:pStyle w:val="Standard"/>
        <w:jc w:val="both"/>
        <w:rPr>
          <w:rFonts w:ascii="Arial" w:hAnsi="Arial"/>
          <w:sz w:val="20"/>
          <w:szCs w:val="20"/>
        </w:rPr>
      </w:pPr>
      <w:r>
        <w:rPr>
          <w:rFonts w:ascii="Arial" w:hAnsi="Arial" w:cs="Arial"/>
          <w:sz w:val="20"/>
          <w:szCs w:val="20"/>
        </w:rPr>
        <w:t xml:space="preserve">c) </w:t>
      </w:r>
      <w:r>
        <w:rPr>
          <w:rFonts w:ascii="Arial" w:hAnsi="Arial" w:cs="Arial"/>
          <w:color w:val="000000"/>
          <w:sz w:val="20"/>
          <w:szCs w:val="20"/>
        </w:rPr>
        <w:t xml:space="preserve">Le cas échéant, </w:t>
      </w:r>
      <w:r>
        <w:rPr>
          <w:rFonts w:ascii="Arial" w:hAnsi="Arial" w:cs="Arial"/>
          <w:sz w:val="20"/>
          <w:szCs w:val="20"/>
        </w:rPr>
        <w:t>Inform</w:t>
      </w:r>
      <w:r>
        <w:rPr>
          <w:rFonts w:ascii="Arial" w:hAnsi="Arial" w:cs="Arial"/>
          <w:sz w:val="20"/>
          <w:szCs w:val="20"/>
        </w:rPr>
        <w:t xml:space="preserve">ations relatives au loyer du dernier locataire </w:t>
      </w:r>
      <w:r>
        <w:rPr>
          <w:rStyle w:val="FootnoteReference"/>
          <w:rFonts w:ascii="Arial" w:hAnsi="Arial"/>
          <w:sz w:val="20"/>
          <w:szCs w:val="20"/>
        </w:rPr>
        <w:footnoteReference w:id="8"/>
      </w:r>
      <w:r>
        <w:rPr>
          <w:rFonts w:ascii="Arial" w:hAnsi="Arial" w:cs="Arial"/>
          <w:sz w:val="20"/>
          <w:szCs w:val="20"/>
        </w:rPr>
        <w:t>:</w:t>
      </w:r>
    </w:p>
    <w:p w:rsidR="00555920" w:rsidRDefault="00B1473F">
      <w:pPr>
        <w:pStyle w:val="Standard"/>
        <w:numPr>
          <w:ilvl w:val="0"/>
          <w:numId w:val="365"/>
        </w:numPr>
        <w:jc w:val="both"/>
        <w:rPr>
          <w:rFonts w:ascii="Arial" w:hAnsi="Arial" w:cs="Arial"/>
          <w:sz w:val="20"/>
          <w:szCs w:val="20"/>
        </w:rPr>
      </w:pPr>
      <w:r>
        <w:rPr>
          <w:rFonts w:ascii="Arial" w:hAnsi="Arial" w:cs="Arial"/>
          <w:sz w:val="20"/>
          <w:szCs w:val="20"/>
        </w:rPr>
        <w:t>montant du dernier loyer acquitté par le précédent locataire (€) :</w:t>
      </w:r>
    </w:p>
    <w:p w:rsidR="00555920" w:rsidRDefault="00B1473F">
      <w:pPr>
        <w:pStyle w:val="Standard"/>
        <w:numPr>
          <w:ilvl w:val="0"/>
          <w:numId w:val="366"/>
        </w:numPr>
        <w:jc w:val="both"/>
        <w:rPr>
          <w:rFonts w:ascii="Arial" w:hAnsi="Arial" w:cs="Arial"/>
          <w:sz w:val="20"/>
          <w:szCs w:val="20"/>
        </w:rPr>
      </w:pPr>
      <w:r>
        <w:rPr>
          <w:rFonts w:ascii="Arial" w:hAnsi="Arial" w:cs="Arial"/>
          <w:sz w:val="20"/>
          <w:szCs w:val="20"/>
        </w:rPr>
        <w:t>date de versement :</w:t>
      </w:r>
    </w:p>
    <w:p w:rsidR="00555920" w:rsidRDefault="00B1473F">
      <w:pPr>
        <w:pStyle w:val="Standard"/>
        <w:numPr>
          <w:ilvl w:val="0"/>
          <w:numId w:val="367"/>
        </w:numPr>
        <w:jc w:val="both"/>
        <w:rPr>
          <w:rFonts w:ascii="Arial" w:hAnsi="Arial" w:cs="Arial"/>
          <w:sz w:val="20"/>
          <w:szCs w:val="20"/>
        </w:rPr>
      </w:pPr>
      <w:r>
        <w:rPr>
          <w:rFonts w:ascii="Arial" w:hAnsi="Arial" w:cs="Arial"/>
          <w:sz w:val="20"/>
          <w:szCs w:val="20"/>
        </w:rPr>
        <w:t>date de la dernière révision du loyer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bCs/>
          <w:sz w:val="20"/>
          <w:szCs w:val="20"/>
        </w:rPr>
      </w:pPr>
      <w:r>
        <w:rPr>
          <w:rFonts w:ascii="Arial" w:hAnsi="Arial" w:cs="Arial"/>
          <w:b/>
          <w:bCs/>
          <w:sz w:val="20"/>
          <w:szCs w:val="20"/>
        </w:rPr>
        <w:t>2° Le cas échéant, Modalités de révision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cs="Arial"/>
          <w:sz w:val="20"/>
          <w:szCs w:val="20"/>
        </w:rPr>
        <w:t xml:space="preserve">a) Date de révision : </w:t>
      </w:r>
      <w:r>
        <w:rPr>
          <w:rFonts w:ascii="Arial" w:hAnsi="Arial" w:cs="Arial"/>
          <w:color w:val="DDDDDD"/>
          <w:sz w:val="20"/>
          <w:szCs w:val="20"/>
        </w:rPr>
        <w:t>_______</w:t>
      </w:r>
      <w:r>
        <w:rPr>
          <w:rFonts w:ascii="Arial" w:hAnsi="Arial" w:cs="Arial"/>
          <w:color w:val="000000"/>
          <w:sz w:val="20"/>
          <w:szCs w:val="20"/>
        </w:rPr>
        <w:t>/</w:t>
      </w:r>
      <w:r>
        <w:rPr>
          <w:rFonts w:ascii="Arial" w:hAnsi="Arial" w:cs="Arial"/>
          <w:color w:val="DDDDDD"/>
          <w:sz w:val="20"/>
          <w:szCs w:val="20"/>
        </w:rPr>
        <w:t>_______</w:t>
      </w:r>
      <w:r>
        <w:rPr>
          <w:rFonts w:ascii="Arial" w:hAnsi="Arial" w:cs="Arial"/>
          <w:color w:val="000000"/>
          <w:sz w:val="20"/>
          <w:szCs w:val="20"/>
        </w:rPr>
        <w:t>/</w:t>
      </w:r>
      <w:r>
        <w:rPr>
          <w:rFonts w:ascii="Arial" w:hAnsi="Arial" w:cs="Arial"/>
          <w:color w:val="DDDDDD"/>
          <w:sz w:val="20"/>
          <w:szCs w:val="20"/>
        </w:rPr>
        <w:t>_______</w:t>
      </w:r>
    </w:p>
    <w:p w:rsidR="00555920" w:rsidRDefault="00B1473F">
      <w:pPr>
        <w:pStyle w:val="Standard"/>
        <w:jc w:val="both"/>
        <w:rPr>
          <w:rFonts w:ascii="Arial" w:hAnsi="Arial"/>
          <w:sz w:val="20"/>
          <w:szCs w:val="20"/>
        </w:rPr>
      </w:pPr>
      <w:r>
        <w:rPr>
          <w:rFonts w:ascii="Arial" w:hAnsi="Arial" w:cs="Arial"/>
          <w:sz w:val="20"/>
          <w:szCs w:val="20"/>
        </w:rPr>
        <w:t xml:space="preserve">b) Date ou trimestre de référence de l’IRL : </w:t>
      </w:r>
      <w:r>
        <w:rPr>
          <w:rFonts w:ascii="Arial" w:hAnsi="Arial" w:cs="Arial"/>
          <w:color w:val="DDDDDD"/>
          <w:sz w:val="20"/>
          <w:szCs w:val="20"/>
        </w:rPr>
        <w:t>______________</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bCs/>
          <w:color w:val="0066CC"/>
          <w:sz w:val="20"/>
          <w:szCs w:val="20"/>
        </w:rPr>
      </w:pPr>
      <w:r>
        <w:rPr>
          <w:rFonts w:ascii="Arial" w:hAnsi="Arial" w:cs="Arial"/>
          <w:b/>
          <w:bCs/>
          <w:color w:val="0066CC"/>
          <w:sz w:val="20"/>
          <w:szCs w:val="20"/>
        </w:rPr>
        <w:t>B. Charges récupérables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 xml:space="preserve">1. Modalité de règlement des charges </w:t>
      </w:r>
      <w:r>
        <w:rPr>
          <w:rFonts w:ascii="Arial" w:hAnsi="Arial" w:cs="Arial"/>
          <w:sz w:val="20"/>
          <w:szCs w:val="20"/>
        </w:rPr>
        <w:t>récupérables :</w:t>
      </w:r>
    </w:p>
    <w:p w:rsidR="00555920" w:rsidRDefault="00B1473F">
      <w:pPr>
        <w:pStyle w:val="Standard"/>
        <w:jc w:val="both"/>
        <w:rPr>
          <w:rFonts w:ascii="Arial" w:hAnsi="Arial"/>
          <w:sz w:val="20"/>
          <w:szCs w:val="20"/>
        </w:rPr>
      </w:pPr>
      <w:r>
        <w:rPr>
          <w:rFonts w:ascii="Arial" w:eastAsia="Arial" w:hAnsi="Arial" w:cs="Arial"/>
          <w:sz w:val="20"/>
          <w:szCs w:val="20"/>
        </w:rPr>
        <w:t xml:space="preserve">□ </w:t>
      </w:r>
      <w:r>
        <w:rPr>
          <w:rFonts w:ascii="Arial" w:hAnsi="Arial" w:cs="Arial"/>
          <w:sz w:val="20"/>
          <w:szCs w:val="20"/>
        </w:rPr>
        <w:t>Provisions sur charges avec régularisation annuelle</w:t>
      </w:r>
    </w:p>
    <w:p w:rsidR="00555920" w:rsidRDefault="00B1473F">
      <w:pPr>
        <w:pStyle w:val="Standard"/>
        <w:jc w:val="both"/>
        <w:rPr>
          <w:rFonts w:ascii="Arial" w:hAnsi="Arial"/>
          <w:sz w:val="20"/>
          <w:szCs w:val="20"/>
        </w:rPr>
      </w:pPr>
      <w:r>
        <w:rPr>
          <w:rFonts w:ascii="Arial" w:eastAsia="Arial" w:hAnsi="Arial" w:cs="Arial"/>
          <w:sz w:val="20"/>
          <w:szCs w:val="20"/>
        </w:rPr>
        <w:t xml:space="preserve">□ </w:t>
      </w:r>
      <w:r>
        <w:rPr>
          <w:rFonts w:ascii="Arial" w:hAnsi="Arial" w:cs="Arial"/>
          <w:sz w:val="20"/>
          <w:szCs w:val="20"/>
        </w:rPr>
        <w:t>Paiement périodique des charges sans provision</w:t>
      </w:r>
    </w:p>
    <w:p w:rsidR="00555920" w:rsidRDefault="00B1473F">
      <w:pPr>
        <w:pStyle w:val="Standard"/>
        <w:jc w:val="both"/>
        <w:rPr>
          <w:rFonts w:ascii="Arial" w:hAnsi="Arial"/>
          <w:sz w:val="20"/>
          <w:szCs w:val="20"/>
        </w:rPr>
      </w:pPr>
      <w:r>
        <w:rPr>
          <w:rFonts w:ascii="Arial" w:eastAsia="Arial" w:hAnsi="Arial" w:cs="Arial"/>
          <w:sz w:val="20"/>
          <w:szCs w:val="20"/>
        </w:rPr>
        <w:t>□</w:t>
      </w:r>
      <w:r>
        <w:rPr>
          <w:rFonts w:ascii="Arial" w:hAnsi="Arial" w:cs="Arial"/>
          <w:sz w:val="20"/>
          <w:szCs w:val="20"/>
        </w:rPr>
        <w:t xml:space="preserve"> Récupération des charges par le bailleur sous la forme d'un forfait</w:t>
      </w:r>
    </w:p>
    <w:p w:rsidR="00555920" w:rsidRDefault="00B1473F">
      <w:pPr>
        <w:pStyle w:val="Standard"/>
        <w:jc w:val="both"/>
        <w:rPr>
          <w:rFonts w:ascii="Arial" w:hAnsi="Arial" w:cs="Arial"/>
          <w:sz w:val="20"/>
          <w:szCs w:val="20"/>
        </w:rPr>
      </w:pPr>
      <w:r>
        <w:rPr>
          <w:rFonts w:ascii="Arial" w:hAnsi="Arial" w:cs="Arial"/>
          <w:sz w:val="20"/>
          <w:szCs w:val="20"/>
        </w:rPr>
        <w:t xml:space="preserve">2. Le cas échéant, Montant des provisions sur charges ou du forfait </w:t>
      </w:r>
      <w:r>
        <w:rPr>
          <w:rFonts w:ascii="Arial" w:hAnsi="Arial" w:cs="Arial"/>
          <w:sz w:val="20"/>
          <w:szCs w:val="20"/>
        </w:rPr>
        <w:t>de charges [...].</w:t>
      </w:r>
    </w:p>
    <w:p w:rsidR="00555920" w:rsidRDefault="00B1473F">
      <w:pPr>
        <w:pStyle w:val="Standard"/>
        <w:jc w:val="both"/>
        <w:rPr>
          <w:rFonts w:ascii="Arial" w:hAnsi="Arial"/>
          <w:sz w:val="20"/>
          <w:szCs w:val="20"/>
        </w:rPr>
      </w:pPr>
      <w:r>
        <w:rPr>
          <w:rFonts w:ascii="Arial" w:hAnsi="Arial" w:cs="Arial"/>
          <w:sz w:val="20"/>
          <w:szCs w:val="20"/>
        </w:rPr>
        <w:t xml:space="preserve">3. Le cas échéant, Modalités de révision du forfait de charges </w:t>
      </w:r>
      <w:r>
        <w:rPr>
          <w:rStyle w:val="FootnoteReference"/>
          <w:rFonts w:ascii="Arial" w:hAnsi="Arial"/>
          <w:sz w:val="20"/>
          <w:szCs w:val="20"/>
        </w:rPr>
        <w:footnoteReference w:id="9"/>
      </w:r>
      <w:r>
        <w:rPr>
          <w:rFonts w:ascii="Arial" w:hAnsi="Arial" w:cs="Arial"/>
          <w:sz w:val="20"/>
          <w:szCs w:val="20"/>
        </w:rPr>
        <w:t>: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color w:val="0066CC"/>
          <w:sz w:val="20"/>
          <w:szCs w:val="20"/>
        </w:rPr>
        <w:t xml:space="preserve">C. Le cas </w:t>
      </w:r>
      <w:r>
        <w:rPr>
          <w:rFonts w:ascii="Arial" w:hAnsi="Arial" w:cs="Arial"/>
          <w:b/>
          <w:bCs/>
          <w:color w:val="0066CC"/>
          <w:sz w:val="20"/>
          <w:szCs w:val="20"/>
        </w:rPr>
        <w:t>échéant, En cas de colocation souscription par le bailleur d’une assurance pour le compte des colocataires</w:t>
      </w:r>
      <w:r>
        <w:rPr>
          <w:rFonts w:ascii="Arial" w:hAnsi="Arial" w:cs="Arial"/>
          <w:color w:val="0066CC"/>
          <w:sz w:val="20"/>
          <w:szCs w:val="20"/>
        </w:rPr>
        <w:t xml:space="preserve"> </w:t>
      </w:r>
      <w:r>
        <w:rPr>
          <w:rStyle w:val="FootnoteReference"/>
          <w:rFonts w:ascii="Arial" w:hAnsi="Arial"/>
          <w:sz w:val="20"/>
          <w:szCs w:val="20"/>
        </w:rPr>
        <w:footnoteReference w:id="10"/>
      </w:r>
      <w:r>
        <w:rPr>
          <w:rFonts w:ascii="Arial" w:hAnsi="Arial" w:cs="Arial"/>
          <w:color w:val="0066CC"/>
          <w:sz w:val="20"/>
          <w:szCs w:val="20"/>
        </w:rPr>
        <w:t>:</w:t>
      </w:r>
      <w:r>
        <w:rPr>
          <w:rFonts w:ascii="Arial" w:hAnsi="Arial" w:cs="Arial"/>
          <w:sz w:val="20"/>
          <w:szCs w:val="20"/>
        </w:rPr>
        <w:t xml:space="preserve"> </w:t>
      </w:r>
      <w:r>
        <w:rPr>
          <w:rFonts w:ascii="Arial" w:eastAsia="Arial" w:hAnsi="Arial" w:cs="Arial"/>
          <w:sz w:val="20"/>
          <w:szCs w:val="20"/>
        </w:rPr>
        <w:t xml:space="preserve">□ </w:t>
      </w:r>
      <w:r>
        <w:rPr>
          <w:rFonts w:ascii="Arial" w:hAnsi="Arial" w:cs="Arial"/>
          <w:sz w:val="20"/>
          <w:szCs w:val="20"/>
        </w:rPr>
        <w:t xml:space="preserve">Oui    </w:t>
      </w:r>
      <w:r>
        <w:rPr>
          <w:rFonts w:ascii="Arial" w:eastAsia="Arial" w:hAnsi="Arial" w:cs="Arial"/>
          <w:sz w:val="20"/>
          <w:szCs w:val="20"/>
        </w:rPr>
        <w:t>□</w:t>
      </w:r>
      <w:r>
        <w:rPr>
          <w:rFonts w:ascii="Arial" w:hAnsi="Arial" w:cs="Arial"/>
          <w:sz w:val="20"/>
          <w:szCs w:val="20"/>
        </w:rPr>
        <w:t xml:space="preserve"> Non</w:t>
      </w:r>
    </w:p>
    <w:p w:rsidR="00555920" w:rsidRDefault="00555920">
      <w:pPr>
        <w:pStyle w:val="Standard"/>
        <w:jc w:val="both"/>
        <w:rPr>
          <w:rFonts w:ascii="Arial" w:hAnsi="Arial"/>
          <w:sz w:val="20"/>
          <w:szCs w:val="20"/>
        </w:rPr>
      </w:pPr>
    </w:p>
    <w:p w:rsidR="00555920" w:rsidRDefault="00B1473F">
      <w:pPr>
        <w:pStyle w:val="Standard"/>
        <w:jc w:val="both"/>
      </w:pPr>
      <w:r>
        <w:rPr>
          <w:rFonts w:ascii="Arial" w:hAnsi="Arial" w:cs="Arial"/>
          <w:sz w:val="20"/>
          <w:szCs w:val="20"/>
        </w:rPr>
        <w:t>1. Montant total annuel récupérable au titre de l’assurance pour compte des colocataires</w:t>
      </w:r>
      <w:r>
        <w:rPr>
          <w:rStyle w:val="FootnoteSymbol"/>
          <w:rFonts w:ascii="Arial" w:hAnsi="Arial" w:cs="Arial"/>
          <w:sz w:val="20"/>
          <w:szCs w:val="20"/>
        </w:rPr>
        <w:t xml:space="preserve"> </w:t>
      </w:r>
      <w:r>
        <w:rPr>
          <w:rStyle w:val="FootnoteReference"/>
          <w:rFonts w:ascii="Arial" w:hAnsi="Arial"/>
          <w:sz w:val="20"/>
          <w:szCs w:val="20"/>
        </w:rPr>
        <w:footnoteReference w:id="11"/>
      </w:r>
      <w:r>
        <w:rPr>
          <w:rFonts w:ascii="Arial" w:hAnsi="Arial" w:cs="Arial"/>
          <w:sz w:val="20"/>
          <w:szCs w:val="20"/>
        </w:rPr>
        <w:t>:</w:t>
      </w:r>
    </w:p>
    <w:p w:rsidR="00555920" w:rsidRDefault="00B1473F">
      <w:pPr>
        <w:pStyle w:val="Standard"/>
        <w:jc w:val="both"/>
        <w:rPr>
          <w:rFonts w:ascii="Arial" w:hAnsi="Arial" w:cs="Arial"/>
          <w:sz w:val="20"/>
          <w:szCs w:val="20"/>
        </w:rPr>
      </w:pPr>
      <w:r>
        <w:rPr>
          <w:rFonts w:ascii="Arial" w:hAnsi="Arial" w:cs="Arial"/>
          <w:sz w:val="20"/>
          <w:szCs w:val="20"/>
        </w:rPr>
        <w:t>2. Montant récupérable par douzième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bCs/>
          <w:color w:val="0066CC"/>
          <w:sz w:val="20"/>
          <w:szCs w:val="20"/>
        </w:rPr>
      </w:pPr>
      <w:r>
        <w:rPr>
          <w:rFonts w:ascii="Arial" w:hAnsi="Arial" w:cs="Arial"/>
          <w:b/>
          <w:bCs/>
          <w:color w:val="0066CC"/>
          <w:sz w:val="20"/>
          <w:szCs w:val="20"/>
        </w:rPr>
        <w:t>D. Modalités de paiement</w:t>
      </w:r>
    </w:p>
    <w:p w:rsidR="00555920" w:rsidRDefault="00B1473F">
      <w:pPr>
        <w:pStyle w:val="Standard"/>
        <w:numPr>
          <w:ilvl w:val="0"/>
          <w:numId w:val="368"/>
        </w:numPr>
        <w:jc w:val="both"/>
      </w:pPr>
      <w:r>
        <w:rPr>
          <w:rFonts w:ascii="Arial" w:hAnsi="Arial" w:cs="Arial"/>
          <w:sz w:val="20"/>
          <w:szCs w:val="20"/>
        </w:rPr>
        <w:t>Périodicité du paiement</w:t>
      </w:r>
      <w:r>
        <w:rPr>
          <w:rStyle w:val="FootnoteSymbol"/>
          <w:rFonts w:ascii="Arial" w:hAnsi="Arial" w:cs="Arial"/>
          <w:sz w:val="20"/>
          <w:szCs w:val="20"/>
        </w:rPr>
        <w:t xml:space="preserve"> </w:t>
      </w:r>
      <w:r>
        <w:rPr>
          <w:rStyle w:val="FootnoteReference"/>
          <w:rFonts w:ascii="Arial" w:hAnsi="Arial"/>
          <w:sz w:val="20"/>
          <w:szCs w:val="20"/>
        </w:rPr>
        <w:footnoteReference w:id="12"/>
      </w:r>
      <w:r>
        <w:rPr>
          <w:rFonts w:ascii="Arial" w:hAnsi="Arial" w:cs="Arial"/>
          <w:sz w:val="20"/>
          <w:szCs w:val="20"/>
        </w:rPr>
        <w:t>:</w:t>
      </w:r>
    </w:p>
    <w:p w:rsidR="00555920" w:rsidRDefault="00B1473F">
      <w:pPr>
        <w:pStyle w:val="Standard"/>
        <w:numPr>
          <w:ilvl w:val="0"/>
          <w:numId w:val="369"/>
        </w:numPr>
        <w:jc w:val="both"/>
        <w:rPr>
          <w:rFonts w:ascii="Arial" w:hAnsi="Arial"/>
          <w:sz w:val="20"/>
          <w:szCs w:val="20"/>
        </w:rPr>
      </w:pPr>
      <w:r>
        <w:rPr>
          <w:rFonts w:ascii="Arial" w:hAnsi="Arial" w:cs="Arial"/>
          <w:sz w:val="20"/>
          <w:szCs w:val="20"/>
        </w:rPr>
        <w:t xml:space="preserve">Paiement : </w:t>
      </w:r>
      <w:r>
        <w:rPr>
          <w:rFonts w:ascii="Arial" w:eastAsia="Arial" w:hAnsi="Arial" w:cs="Arial"/>
          <w:sz w:val="20"/>
          <w:szCs w:val="20"/>
        </w:rPr>
        <w:t xml:space="preserve">□ </w:t>
      </w:r>
      <w:r>
        <w:rPr>
          <w:rFonts w:ascii="Arial" w:hAnsi="Arial" w:cs="Arial"/>
          <w:sz w:val="20"/>
          <w:szCs w:val="20"/>
        </w:rPr>
        <w:t xml:space="preserve">à échoir   </w:t>
      </w:r>
      <w:r>
        <w:rPr>
          <w:rFonts w:ascii="Arial" w:eastAsia="Arial" w:hAnsi="Arial" w:cs="Arial"/>
          <w:sz w:val="20"/>
          <w:szCs w:val="20"/>
        </w:rPr>
        <w:t xml:space="preserve">□ </w:t>
      </w:r>
      <w:r>
        <w:rPr>
          <w:rFonts w:ascii="Arial" w:hAnsi="Arial" w:cs="Arial"/>
          <w:sz w:val="20"/>
          <w:szCs w:val="20"/>
        </w:rPr>
        <w:t>à terme échu</w:t>
      </w:r>
    </w:p>
    <w:p w:rsidR="00555920" w:rsidRDefault="00B1473F">
      <w:pPr>
        <w:pStyle w:val="Standard"/>
        <w:numPr>
          <w:ilvl w:val="0"/>
          <w:numId w:val="370"/>
        </w:numPr>
        <w:jc w:val="both"/>
        <w:rPr>
          <w:rFonts w:ascii="Arial" w:hAnsi="Arial" w:cs="Arial"/>
          <w:sz w:val="20"/>
          <w:szCs w:val="20"/>
        </w:rPr>
      </w:pPr>
      <w:r>
        <w:rPr>
          <w:rFonts w:ascii="Arial" w:hAnsi="Arial" w:cs="Arial"/>
          <w:sz w:val="20"/>
          <w:szCs w:val="20"/>
        </w:rPr>
        <w:t>Date ou</w:t>
      </w:r>
      <w:r>
        <w:rPr>
          <w:rFonts w:ascii="Arial" w:hAnsi="Arial" w:cs="Arial"/>
          <w:sz w:val="20"/>
          <w:szCs w:val="20"/>
        </w:rPr>
        <w:t xml:space="preserve"> période de paiement :</w:t>
      </w:r>
    </w:p>
    <w:p w:rsidR="00555920" w:rsidRDefault="00B1473F">
      <w:pPr>
        <w:pStyle w:val="Standard"/>
        <w:numPr>
          <w:ilvl w:val="0"/>
          <w:numId w:val="371"/>
        </w:numPr>
        <w:jc w:val="both"/>
        <w:rPr>
          <w:rFonts w:ascii="Arial" w:hAnsi="Arial"/>
          <w:sz w:val="20"/>
          <w:szCs w:val="20"/>
        </w:rPr>
      </w:pPr>
      <w:r>
        <w:rPr>
          <w:rFonts w:ascii="Arial" w:hAnsi="Arial" w:cs="Arial"/>
          <w:color w:val="000000"/>
          <w:sz w:val="20"/>
          <w:szCs w:val="20"/>
        </w:rPr>
        <w:t>Le cas échéant, l</w:t>
      </w:r>
      <w:r>
        <w:rPr>
          <w:rFonts w:ascii="Arial" w:hAnsi="Arial" w:cs="Arial"/>
          <w:sz w:val="20"/>
          <w:szCs w:val="20"/>
        </w:rPr>
        <w:t>ieu de paiement :</w:t>
      </w:r>
    </w:p>
    <w:p w:rsidR="00555920" w:rsidRDefault="00B1473F">
      <w:pPr>
        <w:pStyle w:val="Standard"/>
        <w:numPr>
          <w:ilvl w:val="0"/>
          <w:numId w:val="372"/>
        </w:numPr>
        <w:jc w:val="both"/>
        <w:rPr>
          <w:rFonts w:ascii="Arial" w:hAnsi="Arial"/>
          <w:sz w:val="20"/>
          <w:szCs w:val="20"/>
        </w:rPr>
      </w:pPr>
      <w:r>
        <w:rPr>
          <w:rFonts w:ascii="Arial" w:hAnsi="Arial" w:cs="Arial"/>
          <w:color w:val="000000"/>
          <w:sz w:val="20"/>
          <w:szCs w:val="20"/>
        </w:rPr>
        <w:t>Le cas échéant, m</w:t>
      </w:r>
      <w:r>
        <w:rPr>
          <w:rFonts w:ascii="Arial" w:hAnsi="Arial" w:cs="Arial"/>
          <w:sz w:val="20"/>
          <w:szCs w:val="20"/>
        </w:rPr>
        <w:t>ontant total dû à la première échéance de paiement pour une période complète de location :</w:t>
      </w:r>
    </w:p>
    <w:p w:rsidR="00555920" w:rsidRDefault="00B1473F">
      <w:pPr>
        <w:pStyle w:val="Standard"/>
        <w:numPr>
          <w:ilvl w:val="2"/>
          <w:numId w:val="46"/>
        </w:numPr>
        <w:jc w:val="both"/>
        <w:rPr>
          <w:rFonts w:ascii="Arial" w:hAnsi="Arial" w:cs="Arial"/>
          <w:sz w:val="20"/>
          <w:szCs w:val="20"/>
        </w:rPr>
      </w:pPr>
      <w:r>
        <w:rPr>
          <w:rFonts w:ascii="Arial" w:hAnsi="Arial" w:cs="Arial"/>
          <w:sz w:val="20"/>
          <w:szCs w:val="20"/>
        </w:rPr>
        <w:t>Loyer (hors charges) :</w:t>
      </w:r>
    </w:p>
    <w:p w:rsidR="00555920" w:rsidRDefault="00B1473F">
      <w:pPr>
        <w:pStyle w:val="Standard"/>
        <w:numPr>
          <w:ilvl w:val="2"/>
          <w:numId w:val="46"/>
        </w:numPr>
        <w:jc w:val="both"/>
        <w:rPr>
          <w:rFonts w:ascii="Arial" w:hAnsi="Arial" w:cs="Arial"/>
          <w:sz w:val="20"/>
          <w:szCs w:val="20"/>
        </w:rPr>
      </w:pPr>
      <w:r>
        <w:rPr>
          <w:rFonts w:ascii="Arial" w:hAnsi="Arial" w:cs="Arial"/>
          <w:sz w:val="20"/>
          <w:szCs w:val="20"/>
        </w:rPr>
        <w:t>Charges récupérables :</w:t>
      </w:r>
    </w:p>
    <w:p w:rsidR="00555920" w:rsidRDefault="00B1473F">
      <w:pPr>
        <w:pStyle w:val="Standard"/>
        <w:numPr>
          <w:ilvl w:val="2"/>
          <w:numId w:val="46"/>
        </w:numPr>
        <w:jc w:val="both"/>
        <w:rPr>
          <w:rFonts w:ascii="Arial" w:hAnsi="Arial" w:cs="Arial"/>
          <w:sz w:val="20"/>
          <w:szCs w:val="20"/>
        </w:rPr>
      </w:pPr>
      <w:r>
        <w:rPr>
          <w:rFonts w:ascii="Arial" w:hAnsi="Arial" w:cs="Arial"/>
          <w:sz w:val="20"/>
          <w:szCs w:val="20"/>
        </w:rPr>
        <w:t xml:space="preserve">Contribution pour le partage des économies </w:t>
      </w:r>
      <w:r>
        <w:rPr>
          <w:rFonts w:ascii="Arial" w:hAnsi="Arial" w:cs="Arial"/>
          <w:sz w:val="20"/>
          <w:szCs w:val="20"/>
        </w:rPr>
        <w:t>de charges :</w:t>
      </w:r>
    </w:p>
    <w:p w:rsidR="00555920" w:rsidRDefault="00B1473F">
      <w:pPr>
        <w:pStyle w:val="Standard"/>
        <w:numPr>
          <w:ilvl w:val="2"/>
          <w:numId w:val="46"/>
        </w:numPr>
        <w:jc w:val="both"/>
        <w:rPr>
          <w:rFonts w:ascii="Arial" w:hAnsi="Arial" w:cs="Arial"/>
          <w:sz w:val="20"/>
          <w:szCs w:val="20"/>
        </w:rPr>
      </w:pPr>
      <w:r>
        <w:rPr>
          <w:rFonts w:ascii="Arial" w:hAnsi="Arial" w:cs="Arial"/>
          <w:sz w:val="20"/>
          <w:szCs w:val="20"/>
        </w:rPr>
        <w:t>En cas de colocation, à l’assurance récupérable pour le compte des colocataires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b/>
          <w:bCs/>
          <w:color w:val="0066CC"/>
          <w:sz w:val="20"/>
          <w:szCs w:val="20"/>
        </w:rPr>
      </w:pPr>
      <w:r>
        <w:rPr>
          <w:rFonts w:ascii="Arial" w:hAnsi="Arial" w:cs="Arial"/>
          <w:b/>
          <w:bCs/>
          <w:color w:val="0066CC"/>
          <w:sz w:val="20"/>
          <w:szCs w:val="20"/>
        </w:rPr>
        <w:t>E. Le cas échéant, exclusivement lors d’un renouvellement de contrat, modalités de réévaluation d’un loyer manifestement sous-évalué</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1. Montant de la hausse ou</w:t>
      </w:r>
      <w:r>
        <w:rPr>
          <w:rFonts w:ascii="Arial" w:hAnsi="Arial" w:cs="Arial"/>
          <w:sz w:val="20"/>
          <w:szCs w:val="20"/>
        </w:rPr>
        <w:t xml:space="preserve"> de la baisse de loyer mensuelle :</w:t>
      </w:r>
    </w:p>
    <w:p w:rsidR="00555920" w:rsidRDefault="00B1473F">
      <w:pPr>
        <w:pStyle w:val="Standard"/>
        <w:jc w:val="both"/>
        <w:rPr>
          <w:rFonts w:ascii="Arial" w:hAnsi="Arial" w:cs="Arial"/>
          <w:sz w:val="20"/>
          <w:szCs w:val="20"/>
        </w:rPr>
      </w:pPr>
      <w:r>
        <w:rPr>
          <w:rFonts w:ascii="Arial" w:hAnsi="Arial" w:cs="Arial"/>
          <w:sz w:val="20"/>
          <w:szCs w:val="20"/>
        </w:rPr>
        <w:t>2. Modalité d’application annuelle de la hausse [par tiers ou par sixième selon la durée du contrat et le montant de la hausse de loyer]:</w:t>
      </w:r>
    </w:p>
    <w:p w:rsidR="00555920" w:rsidRDefault="00555920">
      <w:pPr>
        <w:pStyle w:val="Standard"/>
        <w:rPr>
          <w:rFonts w:ascii="Arial" w:hAnsi="Arial" w:cs="Arial"/>
          <w:sz w:val="20"/>
          <w:szCs w:val="20"/>
        </w:rPr>
      </w:pPr>
    </w:p>
    <w:p w:rsidR="00555920" w:rsidRDefault="00B1473F">
      <w:pPr>
        <w:pStyle w:val="Textbody"/>
        <w:rPr>
          <w:rFonts w:ascii="Arial" w:hAnsi="Arial" w:cs="Mangal"/>
          <w:b/>
          <w:bCs/>
          <w:color w:val="0066CC"/>
          <w:sz w:val="20"/>
          <w:szCs w:val="20"/>
          <w:lang w:eastAsia="hi-IN"/>
        </w:rPr>
      </w:pPr>
      <w:r>
        <w:rPr>
          <w:rFonts w:ascii="Arial" w:hAnsi="Arial" w:cs="Mangal"/>
          <w:b/>
          <w:bCs/>
          <w:color w:val="0066CC"/>
          <w:sz w:val="20"/>
          <w:szCs w:val="20"/>
          <w:lang w:eastAsia="hi-IN"/>
        </w:rPr>
        <w:t>F. Dépenses énergétiques (pour information)</w:t>
      </w:r>
    </w:p>
    <w:p w:rsidR="00555920" w:rsidRDefault="00B1473F">
      <w:pPr>
        <w:pStyle w:val="Textbody"/>
        <w:jc w:val="both"/>
        <w:rPr>
          <w:rFonts w:ascii="Arial" w:hAnsi="Arial"/>
          <w:sz w:val="20"/>
          <w:szCs w:val="20"/>
        </w:rPr>
      </w:pPr>
      <w:r>
        <w:rPr>
          <w:rFonts w:ascii="Arial" w:hAnsi="Arial" w:cs="Arial"/>
          <w:sz w:val="20"/>
          <w:szCs w:val="20"/>
        </w:rPr>
        <w:t xml:space="preserve">Montant estimé des dépenses annuelles </w:t>
      </w:r>
      <w:r>
        <w:rPr>
          <w:rFonts w:ascii="Arial" w:hAnsi="Arial" w:cs="Arial"/>
          <w:sz w:val="20"/>
          <w:szCs w:val="20"/>
        </w:rPr>
        <w:t>d'énergie pour un usage standard de l'ensemble des usages énumérés dans le diagnostic de performance énergétique (chauffage, refroidissement, production d'eau chaude sanitaire, éclairage et auxiliaires de chauffage, de refroidissement, d'eau chaude sanitai</w:t>
      </w:r>
      <w:r>
        <w:rPr>
          <w:rFonts w:ascii="Arial" w:hAnsi="Arial" w:cs="Arial"/>
          <w:sz w:val="20"/>
          <w:szCs w:val="20"/>
        </w:rPr>
        <w:t xml:space="preserve">re et de ventilation) mentionné à l'article L. 126-26 du code de la construction et de l'habitation : [montant ou fourchette inscrit dans le diagnostic de performance énergétique] (estimation réalisée à partir des prix énergétiques de référence de l'année </w:t>
      </w:r>
      <w:r>
        <w:rPr>
          <w:rFonts w:ascii="Arial" w:hAnsi="Arial" w:cs="Arial"/>
          <w:sz w:val="20"/>
          <w:szCs w:val="20"/>
        </w:rPr>
        <w:t>: [année de référence des prix énergétiques du diagnostic énergétique à l'origine de l'estimation]) :</w:t>
      </w:r>
    </w:p>
    <w:p w:rsidR="00555920" w:rsidRDefault="00555920">
      <w:pPr>
        <w:pStyle w:val="Standard"/>
        <w:rPr>
          <w:rFonts w:ascii="Arial" w:hAnsi="Arial" w:cs="Arial"/>
          <w:sz w:val="20"/>
          <w:szCs w:val="20"/>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V. TRAVAUX</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 xml:space="preserve">A. </w:t>
      </w:r>
      <w:r>
        <w:rPr>
          <w:rFonts w:ascii="Arial" w:hAnsi="Arial" w:cs="Arial"/>
          <w:sz w:val="20"/>
          <w:szCs w:val="20"/>
        </w:rPr>
        <w:t>Le cas échéant, Montant et nature des travaux d'amélioration ou de mise en conformité avec les caractéristiques de décence effectués depui</w:t>
      </w:r>
      <w:r>
        <w:rPr>
          <w:rFonts w:ascii="Arial" w:hAnsi="Arial" w:cs="Arial"/>
          <w:sz w:val="20"/>
          <w:szCs w:val="20"/>
        </w:rPr>
        <w:t xml:space="preserve">s la fin du dernier contrat de location ou depuis le dernier renouvellement </w:t>
      </w:r>
      <w:r>
        <w:rPr>
          <w:rStyle w:val="FootnoteReference"/>
          <w:rFonts w:ascii="Arial" w:hAnsi="Arial"/>
          <w:sz w:val="20"/>
          <w:szCs w:val="20"/>
        </w:rPr>
        <w:footnoteReference w:id="13"/>
      </w:r>
      <w:r>
        <w:rPr>
          <w:rFonts w:ascii="Arial" w:hAnsi="Arial" w:cs="Arial"/>
          <w:sz w:val="20"/>
          <w:szCs w:val="20"/>
        </w:rPr>
        <w:t>: [...]</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B.</w:t>
      </w:r>
      <w:r>
        <w:rPr>
          <w:rFonts w:ascii="Arial" w:hAnsi="Arial" w:cs="Arial"/>
          <w:sz w:val="20"/>
          <w:szCs w:val="20"/>
        </w:rPr>
        <w:t xml:space="preserve"> Le cas échéant, Majoration du loyer en cours de </w:t>
      </w:r>
      <w:r>
        <w:rPr>
          <w:rFonts w:ascii="Arial" w:hAnsi="Arial" w:cs="Arial"/>
          <w:sz w:val="20"/>
          <w:szCs w:val="20"/>
        </w:rPr>
        <w:t xml:space="preserve">bail consécutive à des travaux d'amélioration entrepris par le bailleur ou d'acquisitions d'équipements </w:t>
      </w:r>
      <w:r>
        <w:rPr>
          <w:rStyle w:val="FootnoteReference"/>
          <w:rFonts w:ascii="Arial" w:hAnsi="Arial"/>
          <w:sz w:val="20"/>
          <w:szCs w:val="20"/>
        </w:rPr>
        <w:footnoteReference w:id="14"/>
      </w:r>
      <w:r>
        <w:rPr>
          <w:rFonts w:ascii="Arial" w:hAnsi="Arial" w:cs="Arial"/>
          <w:sz w:val="20"/>
          <w:szCs w:val="20"/>
        </w:rPr>
        <w:t>: [nature des travaux ou des équipements, modalités d'exécuti</w:t>
      </w:r>
      <w:r>
        <w:rPr>
          <w:rFonts w:ascii="Arial" w:hAnsi="Arial" w:cs="Arial"/>
          <w:sz w:val="20"/>
          <w:szCs w:val="20"/>
        </w:rPr>
        <w:t>on, délai de réalisation ou d'acquisition ainsi que montant de la majoration du loyer]</w:t>
      </w:r>
    </w:p>
    <w:p w:rsidR="00555920" w:rsidRDefault="00555920">
      <w:pPr>
        <w:pStyle w:val="Standard"/>
        <w:jc w:val="both"/>
        <w:rPr>
          <w:rFonts w:ascii="Arial" w:hAnsi="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C.</w:t>
      </w:r>
      <w:r>
        <w:rPr>
          <w:rFonts w:ascii="Arial" w:hAnsi="Arial" w:cs="Arial"/>
          <w:sz w:val="20"/>
          <w:szCs w:val="20"/>
        </w:rPr>
        <w:t xml:space="preserve"> Le cas échéant, Diminution de loyer en cours de bail consécutive à des travaux entrepris par le locataire : [durée de cette diminution et, en cas de départ anticipé </w:t>
      </w:r>
      <w:r>
        <w:rPr>
          <w:rFonts w:ascii="Arial" w:hAnsi="Arial" w:cs="Arial"/>
          <w:sz w:val="20"/>
          <w:szCs w:val="20"/>
        </w:rPr>
        <w:t>du locataire, modalités de son dédommagement sur justification des dépenses effectuées]</w:t>
      </w:r>
    </w:p>
    <w:p w:rsidR="00555920" w:rsidRDefault="00555920">
      <w:pPr>
        <w:pStyle w:val="Standard"/>
        <w:jc w:val="both"/>
        <w:rPr>
          <w:rFonts w:ascii="Arial" w:hAnsi="Arial" w:cs="Arial"/>
          <w:sz w:val="20"/>
          <w:szCs w:val="20"/>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VI. GARANTIES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Le cas échéant, Montant du dépôt de garantie de l’exécution des obligations du locataire [inférieur ou égal à deux mois de loyers hors charges] :</w:t>
      </w:r>
    </w:p>
    <w:p w:rsidR="00555920" w:rsidRDefault="00555920">
      <w:pPr>
        <w:pStyle w:val="Standard"/>
        <w:jc w:val="both"/>
        <w:rPr>
          <w:rFonts w:ascii="Arial" w:hAnsi="Arial" w:cs="Arial"/>
          <w:sz w:val="20"/>
          <w:szCs w:val="20"/>
        </w:rPr>
      </w:pPr>
    </w:p>
    <w:p w:rsidR="00555920" w:rsidRDefault="00B1473F">
      <w:pPr>
        <w:pStyle w:val="Standard"/>
        <w:rPr>
          <w:rFonts w:ascii="Arial" w:hAnsi="Arial" w:cs="Arial"/>
          <w:b/>
          <w:bCs/>
          <w:color w:val="0066CC"/>
          <w:sz w:val="20"/>
          <w:szCs w:val="20"/>
          <w:u w:val="single"/>
        </w:rPr>
      </w:pPr>
      <w:r>
        <w:rPr>
          <w:rFonts w:ascii="Arial" w:hAnsi="Arial" w:cs="Arial"/>
          <w:b/>
          <w:bCs/>
          <w:color w:val="0066CC"/>
          <w:sz w:val="20"/>
          <w:szCs w:val="20"/>
          <w:u w:val="single"/>
        </w:rPr>
        <w:t xml:space="preserve">VII. </w:t>
      </w:r>
      <w:r>
        <w:rPr>
          <w:rFonts w:ascii="Arial" w:hAnsi="Arial" w:cs="Arial"/>
          <w:b/>
          <w:bCs/>
          <w:color w:val="0066CC"/>
          <w:sz w:val="20"/>
          <w:szCs w:val="20"/>
          <w:u w:val="single"/>
        </w:rPr>
        <w:t>CLAUSE DE SOLIDARITÉ</w:t>
      </w:r>
    </w:p>
    <w:p w:rsidR="00555920" w:rsidRDefault="00555920">
      <w:pPr>
        <w:pStyle w:val="Standard"/>
        <w:jc w:val="both"/>
        <w:rPr>
          <w:rFonts w:ascii="Arial" w:hAnsi="Arial" w:cs="Arial"/>
          <w:sz w:val="20"/>
          <w:szCs w:val="20"/>
        </w:rPr>
      </w:pPr>
    </w:p>
    <w:p w:rsidR="00555920" w:rsidRDefault="00B1473F">
      <w:pPr>
        <w:pStyle w:val="Standard"/>
        <w:numPr>
          <w:ilvl w:val="0"/>
          <w:numId w:val="373"/>
        </w:numPr>
        <w:jc w:val="both"/>
        <w:rPr>
          <w:rFonts w:ascii="Arial" w:hAnsi="Arial" w:cs="Arial"/>
          <w:sz w:val="20"/>
          <w:szCs w:val="20"/>
        </w:rPr>
      </w:pPr>
      <w:r>
        <w:rPr>
          <w:rFonts w:ascii="Arial" w:hAnsi="Arial" w:cs="Arial"/>
          <w:sz w:val="20"/>
          <w:szCs w:val="20"/>
        </w:rPr>
        <w:t>Il est expressément stipulé que les copreneurs seront tenus solidairement et indivisiblement de l'exécution des obligations du présent contrat.</w:t>
      </w:r>
    </w:p>
    <w:p w:rsidR="00555920" w:rsidRDefault="00B1473F">
      <w:pPr>
        <w:pStyle w:val="Standard"/>
        <w:numPr>
          <w:ilvl w:val="0"/>
          <w:numId w:val="374"/>
        </w:numPr>
        <w:jc w:val="both"/>
        <w:rPr>
          <w:rFonts w:ascii="Arial" w:hAnsi="Arial" w:cs="Arial"/>
          <w:sz w:val="20"/>
          <w:szCs w:val="20"/>
        </w:rPr>
      </w:pPr>
      <w:r>
        <w:rPr>
          <w:rFonts w:ascii="Arial" w:hAnsi="Arial" w:cs="Arial"/>
          <w:sz w:val="20"/>
          <w:szCs w:val="20"/>
        </w:rPr>
        <w:t>Les colocataires soussignés, désignés le «LOCATAIRE», reconnaissent expressément qu'ils se</w:t>
      </w:r>
      <w:r>
        <w:rPr>
          <w:rFonts w:ascii="Arial" w:hAnsi="Arial" w:cs="Arial"/>
          <w:sz w:val="20"/>
          <w:szCs w:val="20"/>
        </w:rPr>
        <w:t xml:space="preserve"> sont engagés solidairement et que le bailleur n'a accepté de consentir le présent bail qu'en considération de cette cotitularité solidaire et n'aurait pas consenti la présente location à l'un seulement d'entre eux.</w:t>
      </w:r>
    </w:p>
    <w:p w:rsidR="00555920" w:rsidRDefault="00B1473F">
      <w:pPr>
        <w:pStyle w:val="Standard"/>
        <w:numPr>
          <w:ilvl w:val="0"/>
          <w:numId w:val="375"/>
        </w:numPr>
        <w:jc w:val="both"/>
        <w:rPr>
          <w:rFonts w:ascii="Arial" w:hAnsi="Arial" w:cs="Arial"/>
          <w:sz w:val="20"/>
          <w:szCs w:val="20"/>
        </w:rPr>
      </w:pPr>
      <w:r>
        <w:rPr>
          <w:rFonts w:ascii="Arial" w:hAnsi="Arial" w:cs="Arial"/>
          <w:sz w:val="20"/>
          <w:szCs w:val="20"/>
        </w:rPr>
        <w:t>Si un colocataire délivrait congé et qui</w:t>
      </w:r>
      <w:r>
        <w:rPr>
          <w:rFonts w:ascii="Arial" w:hAnsi="Arial" w:cs="Arial"/>
          <w:sz w:val="20"/>
          <w:szCs w:val="20"/>
        </w:rPr>
        <w:t xml:space="preserve">ttait les lieux, il resterait en tout état de cause tenu du paiement des loyers et accessoires et, plus généralement, de toutes les obligations du bail en cours au moment de la délivrance du congé, et de ses suites et notamment des indemnités d’occupation </w:t>
      </w:r>
      <w:r>
        <w:rPr>
          <w:rFonts w:ascii="Arial" w:hAnsi="Arial" w:cs="Arial"/>
          <w:sz w:val="20"/>
          <w:szCs w:val="20"/>
        </w:rPr>
        <w:t>et de toutes sommes dues au titre des travaux de remise en état, au même titre que le(s) colocataire(s) demeuré(s) dans les lieux pendant une durée de six mois à compter de la date d’effet du congé. Toutefois, cette solidarité prendra fin, avant l’expirati</w:t>
      </w:r>
      <w:r>
        <w:rPr>
          <w:rFonts w:ascii="Arial" w:hAnsi="Arial" w:cs="Arial"/>
          <w:sz w:val="20"/>
          <w:szCs w:val="20"/>
        </w:rPr>
        <w:t>on de ce délai, si un nouveau colocataire, accepté par le bailleur, figure au présent contrat.</w:t>
      </w:r>
    </w:p>
    <w:p w:rsidR="00555920" w:rsidRDefault="00B1473F">
      <w:pPr>
        <w:pStyle w:val="Standard"/>
        <w:numPr>
          <w:ilvl w:val="0"/>
          <w:numId w:val="376"/>
        </w:numPr>
        <w:jc w:val="both"/>
        <w:rPr>
          <w:rFonts w:ascii="Arial" w:hAnsi="Arial" w:cs="Arial"/>
          <w:sz w:val="20"/>
          <w:szCs w:val="20"/>
        </w:rPr>
      </w:pPr>
      <w:r>
        <w:rPr>
          <w:rFonts w:ascii="Arial" w:hAnsi="Arial" w:cs="Arial"/>
          <w:sz w:val="20"/>
          <w:szCs w:val="20"/>
        </w:rPr>
        <w:t>La présente clause est une condition substantielle sans laquelle le présent bail n'aurait pas été consenti.</w:t>
      </w: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b/>
          <w:bCs/>
          <w:color w:val="0066CC"/>
          <w:sz w:val="20"/>
          <w:szCs w:val="20"/>
          <w:u w:val="single"/>
        </w:rPr>
      </w:pPr>
    </w:p>
    <w:p w:rsidR="00555920" w:rsidRDefault="00B1473F">
      <w:pPr>
        <w:pStyle w:val="Standard"/>
        <w:jc w:val="both"/>
        <w:rPr>
          <w:rFonts w:ascii="Arial" w:hAnsi="Arial" w:cs="Arial"/>
          <w:b/>
          <w:bCs/>
          <w:color w:val="0066CC"/>
          <w:sz w:val="20"/>
          <w:szCs w:val="20"/>
          <w:u w:val="single"/>
        </w:rPr>
      </w:pPr>
      <w:r>
        <w:rPr>
          <w:rFonts w:ascii="Arial" w:hAnsi="Arial" w:cs="Arial"/>
          <w:b/>
          <w:bCs/>
          <w:color w:val="0066CC"/>
          <w:sz w:val="20"/>
          <w:szCs w:val="20"/>
          <w:u w:val="single"/>
        </w:rPr>
        <w:t>VIII. CLAUSE RÉSOLUTOIRE</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 xml:space="preserve">Le présent contrat sera </w:t>
      </w:r>
      <w:r>
        <w:rPr>
          <w:rFonts w:ascii="Arial" w:hAnsi="Arial" w:cs="Arial"/>
          <w:sz w:val="20"/>
          <w:szCs w:val="20"/>
        </w:rPr>
        <w:t>résilié de plein droit :</w:t>
      </w:r>
    </w:p>
    <w:p w:rsidR="00555920" w:rsidRDefault="00B1473F">
      <w:pPr>
        <w:pStyle w:val="Textbody"/>
        <w:numPr>
          <w:ilvl w:val="0"/>
          <w:numId w:val="377"/>
        </w:numPr>
        <w:spacing w:after="0"/>
        <w:jc w:val="both"/>
        <w:rPr>
          <w:rFonts w:ascii="Arial" w:hAnsi="Arial" w:cs="Arial"/>
          <w:sz w:val="20"/>
          <w:szCs w:val="20"/>
        </w:rPr>
      </w:pPr>
      <w:r>
        <w:rPr>
          <w:rFonts w:ascii="Arial" w:hAnsi="Arial" w:cs="Arial"/>
          <w:sz w:val="20"/>
          <w:szCs w:val="20"/>
        </w:rPr>
        <w:t>en cas de défaut de paiement du loyer, des provisions de charge, ou de la régularisation annuelle de charge</w:t>
      </w:r>
    </w:p>
    <w:p w:rsidR="00555920" w:rsidRDefault="00B1473F">
      <w:pPr>
        <w:pStyle w:val="Textbody"/>
        <w:numPr>
          <w:ilvl w:val="0"/>
          <w:numId w:val="378"/>
        </w:numPr>
        <w:spacing w:after="0"/>
        <w:jc w:val="both"/>
        <w:rPr>
          <w:rFonts w:ascii="Arial" w:hAnsi="Arial" w:cs="Arial"/>
          <w:sz w:val="20"/>
          <w:szCs w:val="20"/>
        </w:rPr>
      </w:pPr>
      <w:r>
        <w:rPr>
          <w:rFonts w:ascii="Arial" w:hAnsi="Arial" w:cs="Arial"/>
          <w:sz w:val="20"/>
          <w:szCs w:val="20"/>
        </w:rPr>
        <w:t>en cas de défaut de versement du dépôt de garantie</w:t>
      </w:r>
    </w:p>
    <w:p w:rsidR="00555920" w:rsidRDefault="00B1473F">
      <w:pPr>
        <w:pStyle w:val="Textbody"/>
        <w:numPr>
          <w:ilvl w:val="0"/>
          <w:numId w:val="379"/>
        </w:numPr>
        <w:spacing w:after="0"/>
        <w:jc w:val="both"/>
        <w:rPr>
          <w:rFonts w:ascii="Arial" w:hAnsi="Arial" w:cs="Arial"/>
          <w:sz w:val="20"/>
          <w:szCs w:val="20"/>
        </w:rPr>
      </w:pPr>
      <w:r>
        <w:rPr>
          <w:rFonts w:ascii="Arial" w:hAnsi="Arial" w:cs="Arial"/>
          <w:sz w:val="20"/>
          <w:szCs w:val="20"/>
        </w:rPr>
        <w:t>en cas de défaut d’assurance des risques locatifs par le locataire (sauf</w:t>
      </w:r>
      <w:r>
        <w:rPr>
          <w:rFonts w:ascii="Arial" w:hAnsi="Arial" w:cs="Arial"/>
          <w:sz w:val="20"/>
          <w:szCs w:val="20"/>
        </w:rPr>
        <w:t xml:space="preserve"> si le bailleur a souscrit une assurance pour le locataire)</w:t>
      </w:r>
    </w:p>
    <w:p w:rsidR="00555920" w:rsidRDefault="00B1473F">
      <w:pPr>
        <w:pStyle w:val="Textbody"/>
        <w:numPr>
          <w:ilvl w:val="0"/>
          <w:numId w:val="380"/>
        </w:numPr>
        <w:spacing w:after="0"/>
        <w:jc w:val="both"/>
        <w:rPr>
          <w:rFonts w:ascii="Arial" w:hAnsi="Arial" w:cs="Arial"/>
          <w:sz w:val="20"/>
          <w:szCs w:val="20"/>
        </w:rPr>
      </w:pPr>
      <w:r>
        <w:rPr>
          <w:rFonts w:ascii="Arial" w:hAnsi="Arial" w:cs="Arial"/>
          <w:sz w:val="20"/>
          <w:szCs w:val="20"/>
        </w:rPr>
        <w:t>en cas de trouble de voisinage constaté par une décision de justice</w:t>
      </w:r>
    </w:p>
    <w:p w:rsidR="00555920" w:rsidRDefault="00555920">
      <w:pPr>
        <w:pStyle w:val="Textbody"/>
        <w:jc w:val="both"/>
        <w:rPr>
          <w:rFonts w:ascii="Arial" w:hAnsi="Arial" w:cs="Arial"/>
          <w:sz w:val="20"/>
          <w:szCs w:val="20"/>
        </w:rPr>
      </w:pPr>
    </w:p>
    <w:p w:rsidR="00555920" w:rsidRDefault="00555920">
      <w:pPr>
        <w:pStyle w:val="Textbody"/>
        <w:spacing w:after="0"/>
        <w:rPr>
          <w:rFonts w:ascii="Arial" w:eastAsia="Times New Roman" w:hAnsi="Arial" w:cs="Arial"/>
          <w:b/>
          <w:bCs/>
          <w:color w:val="0066CC"/>
          <w:sz w:val="20"/>
          <w:szCs w:val="20"/>
          <w:u w:val="single"/>
        </w:rPr>
      </w:pPr>
    </w:p>
    <w:p w:rsidR="00555920" w:rsidRDefault="00B1473F">
      <w:pPr>
        <w:pStyle w:val="Textbody"/>
        <w:spacing w:after="0"/>
        <w:rPr>
          <w:rFonts w:ascii="Arial" w:hAnsi="Arial"/>
          <w:sz w:val="20"/>
          <w:szCs w:val="20"/>
        </w:rPr>
      </w:pPr>
      <w:r>
        <w:rPr>
          <w:rFonts w:ascii="Arial" w:eastAsia="Times New Roman" w:hAnsi="Arial" w:cs="Arial"/>
          <w:b/>
          <w:bCs/>
          <w:color w:val="0066CC"/>
          <w:sz w:val="20"/>
          <w:szCs w:val="20"/>
          <w:u w:val="single"/>
        </w:rPr>
        <w:t xml:space="preserve">IX. LE CAS ÉCHÉANT, HONORAIRES DE LOCATION </w:t>
      </w:r>
      <w:r>
        <w:rPr>
          <w:rStyle w:val="FootnoteReference"/>
          <w:rFonts w:ascii="Arial" w:hAnsi="Arial"/>
          <w:sz w:val="20"/>
          <w:szCs w:val="20"/>
        </w:rPr>
        <w:footnoteReference w:id="15"/>
      </w:r>
    </w:p>
    <w:p w:rsidR="00555920" w:rsidRDefault="00555920">
      <w:pPr>
        <w:pStyle w:val="Textbody"/>
        <w:spacing w:after="0"/>
        <w:rPr>
          <w:rFonts w:ascii="Arial" w:hAnsi="Arial"/>
          <w:sz w:val="20"/>
          <w:szCs w:val="20"/>
        </w:rPr>
      </w:pPr>
    </w:p>
    <w:p w:rsidR="00555920" w:rsidRDefault="00B1473F">
      <w:pPr>
        <w:pStyle w:val="Textbody"/>
        <w:spacing w:after="0"/>
        <w:rPr>
          <w:rFonts w:ascii="Arial" w:hAnsi="Arial"/>
          <w:sz w:val="20"/>
          <w:szCs w:val="20"/>
        </w:rPr>
      </w:pPr>
      <w:r>
        <w:rPr>
          <w:rFonts w:ascii="Arial" w:hAnsi="Arial"/>
          <w:b/>
          <w:bCs/>
          <w:color w:val="0066CC"/>
          <w:sz w:val="20"/>
          <w:szCs w:val="20"/>
        </w:rPr>
        <w:t xml:space="preserve">A. </w:t>
      </w:r>
      <w:r>
        <w:rPr>
          <w:rFonts w:ascii="Arial" w:hAnsi="Arial"/>
          <w:b/>
          <w:bCs/>
          <w:color w:val="0066CC"/>
          <w:sz w:val="20"/>
          <w:szCs w:val="20"/>
          <w:u w:val="single"/>
        </w:rPr>
        <w:t>Dispositions applicables</w:t>
      </w:r>
    </w:p>
    <w:p w:rsidR="00555920" w:rsidRDefault="00555920">
      <w:pPr>
        <w:pStyle w:val="Textbody"/>
        <w:spacing w:after="0"/>
        <w:jc w:val="both"/>
        <w:rPr>
          <w:rFonts w:ascii="Arial" w:hAnsi="Arial"/>
          <w:sz w:val="20"/>
          <w:szCs w:val="20"/>
        </w:rPr>
      </w:pPr>
    </w:p>
    <w:p w:rsidR="00555920" w:rsidRDefault="00B1473F">
      <w:pPr>
        <w:pStyle w:val="Textbody"/>
        <w:spacing w:after="0"/>
        <w:jc w:val="both"/>
        <w:rPr>
          <w:rFonts w:ascii="Arial" w:hAnsi="Arial"/>
          <w:sz w:val="20"/>
          <w:szCs w:val="20"/>
        </w:rPr>
      </w:pPr>
      <w:r>
        <w:rPr>
          <w:rFonts w:ascii="Arial" w:hAnsi="Arial"/>
          <w:sz w:val="20"/>
          <w:szCs w:val="20"/>
        </w:rPr>
        <w:t>Il est rappelé les dispositions du I de l’article 5 (I) de la loi du 6 juillet 1989, alinéas 1 à 3 : « La rémunération des personnes mandatées pour se livrer ou prêter leur concours à</w:t>
      </w:r>
      <w:r>
        <w:rPr>
          <w:rFonts w:ascii="Arial" w:hAnsi="Arial"/>
          <w:sz w:val="20"/>
          <w:szCs w:val="20"/>
        </w:rPr>
        <w:t xml:space="preserve"> l’entremise ou à la négociation d’une mise en location d’un logement, tel que défini aux articles 2 et 25-3, est à la charge exclusive du bailleur, à l’exception des honoraires liés aux prestations mentionnées aux deuxième et troisième alinéas du présent </w:t>
      </w:r>
      <w:r>
        <w:rPr>
          <w:rFonts w:ascii="Arial" w:hAnsi="Arial"/>
          <w:sz w:val="20"/>
          <w:szCs w:val="20"/>
        </w:rPr>
        <w:t>I. Les honoraires des personnes mandatées pour effectuer la visite du preneur, constituer son dossier et rédiger un bail sont partagés entre le bailleur et le preneur. Le montant toutes taxes comprises imputé au preneur pour ces prestations ne peut excéder</w:t>
      </w:r>
      <w:r>
        <w:rPr>
          <w:rFonts w:ascii="Arial" w:hAnsi="Arial"/>
          <w:sz w:val="20"/>
          <w:szCs w:val="20"/>
        </w:rPr>
        <w:t xml:space="preserve"> celui imputé au bailleur et demeure inférieur ou égal à un plafond par mètre carré de surface habitable de la chose louée fixé par voie réglementaire et révisable chaque année, dans des conditions définies par décret. Ces honoraires sont dus à la signatur</w:t>
      </w:r>
      <w:r>
        <w:rPr>
          <w:rFonts w:ascii="Arial" w:hAnsi="Arial"/>
          <w:sz w:val="20"/>
          <w:szCs w:val="20"/>
        </w:rPr>
        <w:t>e du bail. Les honoraires des personnes mandatées pour réaliser un état des lieux sont partagés entre le bailleur et le preneur. Le montant toutes taxes comprises imputé au locataire pour cette prestation ne peut excéder celui imputé au bailleur et demeure</w:t>
      </w:r>
      <w:r>
        <w:rPr>
          <w:rFonts w:ascii="Arial" w:hAnsi="Arial"/>
          <w:sz w:val="20"/>
          <w:szCs w:val="20"/>
        </w:rPr>
        <w:t xml:space="preserve"> inférieur ou égal à un plafond par mètre carré de surface habitable de la chose louée fixé par voie réglementaire et révisable chaque année, dans des conditions définies par décret. Ces honoraires sont dus à compter de la réalisation de la prestation.</w:t>
      </w:r>
    </w:p>
    <w:p w:rsidR="00555920" w:rsidRDefault="00B1473F">
      <w:pPr>
        <w:pStyle w:val="Textbody"/>
        <w:spacing w:after="0"/>
        <w:rPr>
          <w:rFonts w:ascii="Arial" w:hAnsi="Arial"/>
          <w:sz w:val="20"/>
          <w:szCs w:val="20"/>
        </w:rPr>
      </w:pPr>
      <w:r>
        <w:rPr>
          <w:rFonts w:ascii="Arial" w:hAnsi="Arial"/>
          <w:sz w:val="20"/>
          <w:szCs w:val="20"/>
        </w:rPr>
        <w:t>Pla</w:t>
      </w:r>
      <w:r>
        <w:rPr>
          <w:rFonts w:ascii="Arial" w:hAnsi="Arial"/>
          <w:sz w:val="20"/>
          <w:szCs w:val="20"/>
        </w:rPr>
        <w:t>fonds applicables :</w:t>
      </w:r>
    </w:p>
    <w:p w:rsidR="00555920" w:rsidRDefault="00B1473F">
      <w:pPr>
        <w:pStyle w:val="Textbody"/>
        <w:numPr>
          <w:ilvl w:val="0"/>
          <w:numId w:val="381"/>
        </w:numPr>
        <w:spacing w:after="0"/>
        <w:rPr>
          <w:rFonts w:ascii="Arial" w:hAnsi="Arial"/>
          <w:sz w:val="20"/>
          <w:szCs w:val="20"/>
        </w:rPr>
      </w:pPr>
      <w:r>
        <w:rPr>
          <w:rFonts w:ascii="Arial" w:hAnsi="Arial"/>
          <w:sz w:val="20"/>
          <w:szCs w:val="20"/>
        </w:rPr>
        <w:t xml:space="preserve">montant du plafond des honoraires imputables aux locataires en matière de prestation de visite du preneur, de constitution de son dossier et de rédaction de bail (€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de surface habitable ;</w:t>
      </w:r>
    </w:p>
    <w:p w:rsidR="00555920" w:rsidRDefault="00B1473F">
      <w:pPr>
        <w:pStyle w:val="Textbody"/>
        <w:numPr>
          <w:ilvl w:val="0"/>
          <w:numId w:val="382"/>
        </w:numPr>
        <w:spacing w:after="0"/>
        <w:rPr>
          <w:rFonts w:ascii="Arial" w:hAnsi="Arial"/>
          <w:sz w:val="20"/>
          <w:szCs w:val="20"/>
        </w:rPr>
      </w:pPr>
      <w:r>
        <w:rPr>
          <w:rFonts w:ascii="Arial" w:hAnsi="Arial"/>
          <w:sz w:val="20"/>
          <w:szCs w:val="20"/>
        </w:rPr>
        <w:t>montant du plafond des h</w:t>
      </w:r>
      <w:r>
        <w:rPr>
          <w:rFonts w:ascii="Arial" w:hAnsi="Arial"/>
          <w:sz w:val="20"/>
          <w:szCs w:val="20"/>
        </w:rPr>
        <w:t xml:space="preserve">onoraires imputables aux locataires en matière d’établissement de l’état des lieux d’entrée (€ / </w:t>
      </w:r>
      <w:r>
        <w:rPr>
          <w:rFonts w:ascii="Arial" w:hAnsi="Arial" w:cs="Arial"/>
          <w:sz w:val="20"/>
          <w:szCs w:val="20"/>
        </w:rPr>
        <w:t>m</w:t>
      </w:r>
      <w:r>
        <w:rPr>
          <w:rFonts w:ascii="Arial" w:hAnsi="Arial" w:cs="Arial"/>
          <w:sz w:val="20"/>
          <w:szCs w:val="20"/>
          <w:vertAlign w:val="superscript"/>
        </w:rPr>
        <w:t>2</w:t>
      </w:r>
      <w:r>
        <w:rPr>
          <w:rFonts w:ascii="Arial" w:hAnsi="Arial"/>
          <w:sz w:val="20"/>
          <w:szCs w:val="20"/>
        </w:rPr>
        <w:t>) :              de surface habitable.</w:t>
      </w:r>
    </w:p>
    <w:p w:rsidR="00555920" w:rsidRDefault="00555920">
      <w:pPr>
        <w:pStyle w:val="Textbody"/>
        <w:spacing w:after="0"/>
        <w:rPr>
          <w:rFonts w:ascii="Arial" w:hAnsi="Arial"/>
          <w:sz w:val="20"/>
          <w:szCs w:val="20"/>
        </w:rPr>
      </w:pPr>
    </w:p>
    <w:p w:rsidR="00555920" w:rsidRDefault="00B1473F">
      <w:pPr>
        <w:pStyle w:val="Textbody"/>
        <w:spacing w:after="0"/>
        <w:rPr>
          <w:rFonts w:ascii="Arial" w:hAnsi="Arial"/>
          <w:sz w:val="20"/>
          <w:szCs w:val="20"/>
        </w:rPr>
      </w:pPr>
      <w:r>
        <w:rPr>
          <w:rFonts w:ascii="Arial" w:hAnsi="Arial"/>
          <w:b/>
          <w:bCs/>
          <w:color w:val="0066CC"/>
          <w:sz w:val="20"/>
          <w:szCs w:val="20"/>
        </w:rPr>
        <w:t xml:space="preserve">B. </w:t>
      </w:r>
      <w:r>
        <w:rPr>
          <w:rFonts w:ascii="Arial" w:hAnsi="Arial"/>
          <w:b/>
          <w:bCs/>
          <w:color w:val="0066CC"/>
          <w:sz w:val="20"/>
          <w:szCs w:val="20"/>
          <w:u w:val="single"/>
        </w:rPr>
        <w:t>Détail et répartition des honoraires</w:t>
      </w:r>
    </w:p>
    <w:p w:rsidR="00555920" w:rsidRDefault="00555920">
      <w:pPr>
        <w:pStyle w:val="Textbody"/>
        <w:spacing w:after="0"/>
        <w:rPr>
          <w:rFonts w:ascii="Arial" w:hAnsi="Arial"/>
          <w:sz w:val="20"/>
          <w:szCs w:val="20"/>
        </w:rPr>
      </w:pPr>
    </w:p>
    <w:p w:rsidR="00555920" w:rsidRDefault="00B1473F">
      <w:pPr>
        <w:pStyle w:val="Textbody"/>
        <w:spacing w:after="0"/>
        <w:rPr>
          <w:rFonts w:ascii="Arial" w:hAnsi="Arial"/>
          <w:sz w:val="20"/>
          <w:szCs w:val="20"/>
        </w:rPr>
      </w:pPr>
      <w:r>
        <w:rPr>
          <w:rFonts w:ascii="Arial" w:hAnsi="Arial"/>
          <w:sz w:val="20"/>
          <w:szCs w:val="20"/>
        </w:rPr>
        <w:t>1. Honoraires à la charge du bailleur :</w:t>
      </w:r>
    </w:p>
    <w:p w:rsidR="00555920" w:rsidRDefault="00B1473F">
      <w:pPr>
        <w:pStyle w:val="Textbody"/>
        <w:numPr>
          <w:ilvl w:val="0"/>
          <w:numId w:val="383"/>
        </w:numPr>
        <w:spacing w:after="0"/>
        <w:rPr>
          <w:rFonts w:ascii="Arial" w:hAnsi="Arial"/>
          <w:sz w:val="20"/>
          <w:szCs w:val="20"/>
        </w:rPr>
      </w:pPr>
      <w:r>
        <w:rPr>
          <w:rFonts w:ascii="Arial" w:hAnsi="Arial"/>
          <w:sz w:val="20"/>
          <w:szCs w:val="20"/>
        </w:rPr>
        <w:t>prestations de visite du preneur, de</w:t>
      </w:r>
      <w:r>
        <w:rPr>
          <w:rFonts w:ascii="Arial" w:hAnsi="Arial"/>
          <w:sz w:val="20"/>
          <w:szCs w:val="20"/>
        </w:rPr>
        <w:t xml:space="preserve"> constitution de son dossier et de rédaction de bail [détail des prestations effectivement réalisées et montant des honoraires toutes taxes comprises dus à la signature du bail]:</w:t>
      </w:r>
    </w:p>
    <w:p w:rsidR="00555920" w:rsidRDefault="00B1473F">
      <w:pPr>
        <w:pStyle w:val="Textbody"/>
        <w:numPr>
          <w:ilvl w:val="0"/>
          <w:numId w:val="384"/>
        </w:numPr>
        <w:spacing w:after="0"/>
        <w:rPr>
          <w:rFonts w:ascii="Arial" w:hAnsi="Arial"/>
          <w:sz w:val="20"/>
          <w:szCs w:val="20"/>
        </w:rPr>
      </w:pPr>
      <w:r>
        <w:rPr>
          <w:rFonts w:ascii="Arial" w:hAnsi="Arial"/>
          <w:sz w:val="20"/>
          <w:szCs w:val="20"/>
        </w:rPr>
        <w:t>le cas échéant, Prestation de réalisation de l’état des lieux d’entrée [monta</w:t>
      </w:r>
      <w:r>
        <w:rPr>
          <w:rFonts w:ascii="Arial" w:hAnsi="Arial"/>
          <w:sz w:val="20"/>
          <w:szCs w:val="20"/>
        </w:rPr>
        <w:t>nt des honoraires toutes taxes comprises dus à compter de la réalisation de la prestation]:</w:t>
      </w:r>
    </w:p>
    <w:p w:rsidR="00555920" w:rsidRDefault="00B1473F">
      <w:pPr>
        <w:pStyle w:val="Textbody"/>
        <w:numPr>
          <w:ilvl w:val="0"/>
          <w:numId w:val="385"/>
        </w:numPr>
        <w:spacing w:after="0"/>
        <w:rPr>
          <w:rFonts w:ascii="Arial" w:hAnsi="Arial"/>
          <w:sz w:val="20"/>
          <w:szCs w:val="20"/>
        </w:rPr>
      </w:pPr>
      <w:r>
        <w:rPr>
          <w:rFonts w:ascii="Arial" w:hAnsi="Arial"/>
          <w:sz w:val="20"/>
          <w:szCs w:val="20"/>
        </w:rPr>
        <w:t>autres prestations [détail des prestations et conditions de rémunération]:</w:t>
      </w:r>
    </w:p>
    <w:p w:rsidR="00555920" w:rsidRDefault="00B1473F">
      <w:pPr>
        <w:pStyle w:val="Textbody"/>
        <w:spacing w:after="0"/>
        <w:rPr>
          <w:rFonts w:ascii="Arial" w:hAnsi="Arial"/>
          <w:sz w:val="20"/>
          <w:szCs w:val="20"/>
        </w:rPr>
      </w:pPr>
      <w:r>
        <w:rPr>
          <w:rFonts w:ascii="Arial" w:hAnsi="Arial"/>
          <w:sz w:val="20"/>
          <w:szCs w:val="20"/>
        </w:rPr>
        <w:t>2. Honoraires à la charge du locataire :</w:t>
      </w:r>
    </w:p>
    <w:p w:rsidR="00555920" w:rsidRDefault="00B1473F">
      <w:pPr>
        <w:pStyle w:val="Textbody"/>
        <w:numPr>
          <w:ilvl w:val="0"/>
          <w:numId w:val="386"/>
        </w:numPr>
        <w:spacing w:after="0"/>
        <w:rPr>
          <w:rFonts w:ascii="Arial" w:hAnsi="Arial"/>
          <w:sz w:val="20"/>
          <w:szCs w:val="20"/>
        </w:rPr>
      </w:pPr>
      <w:r>
        <w:rPr>
          <w:rFonts w:ascii="Arial" w:hAnsi="Arial"/>
          <w:sz w:val="20"/>
          <w:szCs w:val="20"/>
        </w:rPr>
        <w:t>prestations de visite du preneur, de constitutio</w:t>
      </w:r>
      <w:r>
        <w:rPr>
          <w:rFonts w:ascii="Arial" w:hAnsi="Arial"/>
          <w:sz w:val="20"/>
          <w:szCs w:val="20"/>
        </w:rPr>
        <w:t>n de son dossier et de rédaction de bail [détail des prestations effectivement réalisées et montant des honoraires toutes taxes comprises dus à la signature du bail]:</w:t>
      </w:r>
    </w:p>
    <w:p w:rsidR="00555920" w:rsidRDefault="00B1473F">
      <w:pPr>
        <w:pStyle w:val="Textbody"/>
        <w:numPr>
          <w:ilvl w:val="0"/>
          <w:numId w:val="387"/>
        </w:numPr>
        <w:spacing w:after="0"/>
        <w:rPr>
          <w:rFonts w:ascii="Arial" w:hAnsi="Arial"/>
          <w:sz w:val="20"/>
          <w:szCs w:val="20"/>
        </w:rPr>
      </w:pPr>
      <w:r>
        <w:rPr>
          <w:rFonts w:ascii="Arial" w:hAnsi="Arial"/>
          <w:sz w:val="20"/>
          <w:szCs w:val="20"/>
        </w:rPr>
        <w:t xml:space="preserve">le cas échéant, Prestation de réalisation de l’état des lieux d’entrée </w:t>
      </w:r>
      <w:r>
        <w:rPr>
          <w:rFonts w:ascii="Arial" w:hAnsi="Arial" w:cs="Arial"/>
          <w:color w:val="000000"/>
          <w:sz w:val="20"/>
          <w:szCs w:val="20"/>
        </w:rPr>
        <w:t>[montant des honor</w:t>
      </w:r>
      <w:r>
        <w:rPr>
          <w:rFonts w:ascii="Arial" w:hAnsi="Arial" w:cs="Arial"/>
          <w:color w:val="000000"/>
          <w:sz w:val="20"/>
          <w:szCs w:val="20"/>
        </w:rPr>
        <w:t>aires toutes taxes comprises dus à compter de la réalisation de la prestation]:</w:t>
      </w:r>
    </w:p>
    <w:p w:rsidR="00555920" w:rsidRDefault="00555920">
      <w:pPr>
        <w:pStyle w:val="Textbody"/>
        <w:rPr>
          <w:rFonts w:ascii="Arial" w:hAnsi="Arial"/>
          <w:sz w:val="20"/>
          <w:szCs w:val="20"/>
        </w:rPr>
      </w:pPr>
    </w:p>
    <w:p w:rsidR="00555920" w:rsidRDefault="00B1473F">
      <w:pPr>
        <w:pStyle w:val="Standard"/>
        <w:jc w:val="both"/>
        <w:rPr>
          <w:rFonts w:ascii="Arial" w:hAnsi="Arial"/>
          <w:sz w:val="20"/>
          <w:szCs w:val="20"/>
        </w:rPr>
      </w:pPr>
      <w:r>
        <w:rPr>
          <w:rFonts w:ascii="Arial" w:hAnsi="Arial" w:cs="Arial"/>
          <w:b/>
          <w:bCs/>
          <w:color w:val="0066CC"/>
          <w:sz w:val="20"/>
          <w:szCs w:val="20"/>
          <w:u w:val="single"/>
        </w:rPr>
        <w:t xml:space="preserve">X. </w:t>
      </w:r>
      <w:r>
        <w:rPr>
          <w:rFonts w:ascii="Arial" w:hAnsi="Arial" w:cs="Arial"/>
          <w:b/>
          <w:bCs/>
          <w:caps/>
          <w:color w:val="0066CC"/>
          <w:sz w:val="20"/>
          <w:szCs w:val="20"/>
          <w:u w:val="single"/>
        </w:rPr>
        <w:t>Autres conditions particulières</w:t>
      </w:r>
    </w:p>
    <w:p w:rsidR="00555920" w:rsidRDefault="00555920">
      <w:pPr>
        <w:pStyle w:val="Standard"/>
        <w:jc w:val="both"/>
        <w:rPr>
          <w:rFonts w:ascii="Arial" w:hAnsi="Arial"/>
          <w:sz w:val="20"/>
          <w:szCs w:val="20"/>
        </w:rPr>
      </w:pPr>
    </w:p>
    <w:p w:rsidR="00555920" w:rsidRDefault="00B1473F">
      <w:pPr>
        <w:pStyle w:val="Standard"/>
        <w:jc w:val="both"/>
        <w:rPr>
          <w:rFonts w:ascii="Arial" w:hAnsi="Arial" w:cs="Arial"/>
          <w:caps/>
          <w:sz w:val="20"/>
          <w:szCs w:val="20"/>
        </w:rPr>
      </w:pPr>
      <w:r>
        <w:rPr>
          <w:rFonts w:ascii="Arial" w:hAnsi="Arial" w:cs="Arial"/>
          <w:caps/>
          <w:sz w:val="20"/>
          <w:szCs w:val="20"/>
        </w:rPr>
        <w:t>[A définir par les parties]</w:t>
      </w: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Textbody"/>
        <w:jc w:val="both"/>
        <w:rPr>
          <w:rFonts w:ascii="Arial" w:hAnsi="Arial" w:cs="Arial"/>
          <w:color w:val="DDDDDD"/>
          <w:sz w:val="20"/>
          <w:szCs w:val="20"/>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555920">
      <w:pPr>
        <w:pStyle w:val="Standard"/>
        <w:jc w:val="both"/>
        <w:rPr>
          <w:rFonts w:ascii="Arial" w:hAnsi="Arial" w:cs="Arial"/>
          <w:b/>
          <w:bCs/>
          <w:color w:val="0066CC"/>
          <w:sz w:val="20"/>
          <w:szCs w:val="20"/>
          <w:u w:val="single"/>
        </w:rPr>
      </w:pPr>
    </w:p>
    <w:p w:rsidR="00555920" w:rsidRDefault="00B1473F">
      <w:pPr>
        <w:pStyle w:val="Standard"/>
        <w:jc w:val="both"/>
        <w:rPr>
          <w:rFonts w:ascii="Arial" w:hAnsi="Arial" w:cs="Arial"/>
          <w:b/>
          <w:bCs/>
          <w:color w:val="0066CC"/>
          <w:sz w:val="20"/>
          <w:szCs w:val="20"/>
          <w:u w:val="single"/>
        </w:rPr>
      </w:pPr>
      <w:r>
        <w:rPr>
          <w:rFonts w:ascii="Arial" w:hAnsi="Arial" w:cs="Arial"/>
          <w:b/>
          <w:bCs/>
          <w:color w:val="0066CC"/>
          <w:sz w:val="20"/>
          <w:szCs w:val="20"/>
          <w:u w:val="single"/>
        </w:rPr>
        <w:t>XI. ANNEXES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Sont annexées et jointes au contrat de location les pièces suivantes :</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A.</w:t>
      </w:r>
      <w:r>
        <w:rPr>
          <w:rFonts w:ascii="Arial" w:hAnsi="Arial" w:cs="Arial"/>
          <w:sz w:val="20"/>
          <w:szCs w:val="20"/>
        </w:rPr>
        <w:t xml:space="preserve"> Le cas échéant, un extrait du règlement concernant la destination de l'immeuble, la jouissance et l'usage des parties privatives et communes, et précisant la quote-part afférente au lot loué dans chacune des catégories de charges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B.</w:t>
      </w:r>
      <w:r>
        <w:rPr>
          <w:rFonts w:ascii="Arial" w:hAnsi="Arial" w:cs="Arial"/>
          <w:sz w:val="20"/>
          <w:szCs w:val="20"/>
        </w:rPr>
        <w:t xml:space="preserve"> Un dossier de diagnos</w:t>
      </w:r>
      <w:r>
        <w:rPr>
          <w:rFonts w:ascii="Arial" w:hAnsi="Arial" w:cs="Arial"/>
          <w:sz w:val="20"/>
          <w:szCs w:val="20"/>
        </w:rPr>
        <w:t>tics techniques comprenant :</w:t>
      </w:r>
    </w:p>
    <w:p w:rsidR="00555920" w:rsidRDefault="00B1473F">
      <w:pPr>
        <w:pStyle w:val="Standard"/>
        <w:jc w:val="both"/>
        <w:rPr>
          <w:rFonts w:ascii="Arial" w:hAnsi="Arial" w:cs="Arial"/>
          <w:sz w:val="20"/>
          <w:szCs w:val="20"/>
        </w:rPr>
      </w:pPr>
      <w:r>
        <w:rPr>
          <w:rFonts w:ascii="Arial" w:hAnsi="Arial" w:cs="Arial"/>
          <w:sz w:val="20"/>
          <w:szCs w:val="20"/>
        </w:rPr>
        <w:t>- un diagnostic de performance énergétique ;</w:t>
      </w:r>
    </w:p>
    <w:p w:rsidR="00555920" w:rsidRDefault="00B1473F">
      <w:pPr>
        <w:pStyle w:val="Standard"/>
        <w:jc w:val="both"/>
        <w:rPr>
          <w:rFonts w:ascii="Arial" w:hAnsi="Arial" w:cs="Arial"/>
          <w:sz w:val="20"/>
          <w:szCs w:val="20"/>
        </w:rPr>
      </w:pPr>
      <w:r>
        <w:rPr>
          <w:rFonts w:ascii="Arial" w:hAnsi="Arial" w:cs="Arial"/>
          <w:sz w:val="20"/>
          <w:szCs w:val="20"/>
        </w:rPr>
        <w:t>- un constat de risque d'exposition au plomb pour les immeubles construits avant le 1er janvier 1949 ;</w:t>
      </w:r>
    </w:p>
    <w:p w:rsidR="00555920" w:rsidRDefault="00B1473F">
      <w:pPr>
        <w:pStyle w:val="Standard"/>
        <w:jc w:val="both"/>
        <w:rPr>
          <w:rFonts w:ascii="Arial" w:hAnsi="Arial"/>
          <w:sz w:val="20"/>
          <w:szCs w:val="20"/>
        </w:rPr>
      </w:pPr>
      <w:r>
        <w:rPr>
          <w:rFonts w:ascii="Arial" w:hAnsi="Arial" w:cs="Arial"/>
          <w:sz w:val="20"/>
          <w:szCs w:val="20"/>
        </w:rPr>
        <w:t>- le cas échéant, une copie d'un état mentionnant l'absence ou la présence de m</w:t>
      </w:r>
      <w:r>
        <w:rPr>
          <w:rFonts w:ascii="Arial" w:hAnsi="Arial" w:cs="Arial"/>
          <w:sz w:val="20"/>
          <w:szCs w:val="20"/>
        </w:rPr>
        <w:t xml:space="preserve">atériaux ou de produits de la construction contenant de l'amiante </w:t>
      </w:r>
      <w:r>
        <w:rPr>
          <w:rStyle w:val="FootnoteReference"/>
          <w:rFonts w:ascii="Arial" w:hAnsi="Arial"/>
          <w:sz w:val="20"/>
          <w:szCs w:val="20"/>
        </w:rPr>
        <w:footnoteReference w:id="16"/>
      </w:r>
      <w:r>
        <w:rPr>
          <w:rFonts w:ascii="Arial" w:hAnsi="Arial" w:cs="Arial"/>
          <w:sz w:val="20"/>
          <w:szCs w:val="20"/>
        </w:rPr>
        <w:t>;</w:t>
      </w:r>
    </w:p>
    <w:p w:rsidR="00555920" w:rsidRDefault="00B1473F">
      <w:pPr>
        <w:pStyle w:val="Standard"/>
        <w:jc w:val="both"/>
        <w:rPr>
          <w:rFonts w:ascii="Arial" w:hAnsi="Arial"/>
          <w:sz w:val="20"/>
          <w:szCs w:val="20"/>
        </w:rPr>
      </w:pPr>
      <w:r>
        <w:rPr>
          <w:rFonts w:ascii="Arial" w:hAnsi="Arial" w:cs="Arial"/>
          <w:sz w:val="20"/>
          <w:szCs w:val="20"/>
        </w:rPr>
        <w:t>- le cas échéant, un état de l'installation intérieure d'électricité et de</w:t>
      </w:r>
      <w:r>
        <w:rPr>
          <w:rFonts w:ascii="Arial" w:hAnsi="Arial" w:cs="Arial"/>
          <w:sz w:val="20"/>
          <w:szCs w:val="20"/>
        </w:rPr>
        <w:t xml:space="preserve"> gaz, dont l'objet est d'évaluer les risques pouvant porter atteinte à la sécurité des personnes </w:t>
      </w:r>
      <w:r>
        <w:rPr>
          <w:rStyle w:val="FootnoteReference"/>
          <w:rFonts w:ascii="Arial" w:hAnsi="Arial"/>
          <w:sz w:val="20"/>
          <w:szCs w:val="20"/>
        </w:rPr>
        <w:footnoteReference w:id="17"/>
      </w:r>
      <w:r>
        <w:rPr>
          <w:rFonts w:ascii="Arial" w:hAnsi="Arial" w:cs="Arial"/>
          <w:sz w:val="20"/>
          <w:szCs w:val="20"/>
        </w:rPr>
        <w:t>;</w:t>
      </w:r>
    </w:p>
    <w:p w:rsidR="00555920" w:rsidRDefault="00B1473F">
      <w:pPr>
        <w:pStyle w:val="Standard"/>
        <w:jc w:val="both"/>
        <w:rPr>
          <w:rFonts w:ascii="Arial" w:hAnsi="Arial"/>
          <w:sz w:val="20"/>
          <w:szCs w:val="20"/>
        </w:rPr>
      </w:pPr>
      <w:r>
        <w:rPr>
          <w:rFonts w:ascii="Arial" w:hAnsi="Arial" w:cs="Arial"/>
          <w:sz w:val="20"/>
          <w:szCs w:val="20"/>
        </w:rPr>
        <w:t xml:space="preserve">- le cas échéant, un état des risques naturels et technologiques pour </w:t>
      </w:r>
      <w:r>
        <w:rPr>
          <w:rFonts w:ascii="Arial" w:hAnsi="Arial" w:cs="Arial"/>
          <w:sz w:val="20"/>
          <w:szCs w:val="20"/>
        </w:rPr>
        <w:t xml:space="preserve">les zones couvertes par un plan de prévention des risques technologiques ou par un plan de prévention des risques naturels prévisibles, prescrit ou approuvé, ou dans des zones de sismicité </w:t>
      </w:r>
      <w:r>
        <w:rPr>
          <w:rStyle w:val="FootnoteReference"/>
          <w:rFonts w:ascii="Arial" w:hAnsi="Arial"/>
          <w:sz w:val="20"/>
          <w:szCs w:val="20"/>
        </w:rPr>
        <w:footnoteReference w:id="18"/>
      </w:r>
      <w:r>
        <w:rPr>
          <w:rFonts w:ascii="Arial" w:hAnsi="Arial" w:cs="Arial"/>
          <w:sz w:val="20"/>
          <w:szCs w:val="20"/>
        </w:rPr>
        <w:t>.</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C.</w:t>
      </w:r>
      <w:r>
        <w:rPr>
          <w:rFonts w:ascii="Arial" w:hAnsi="Arial" w:cs="Arial"/>
          <w:sz w:val="20"/>
          <w:szCs w:val="20"/>
        </w:rPr>
        <w:t xml:space="preserve"> une notice d'information relative aux droits et obligations des locataires et des bailleurs</w:t>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D.</w:t>
      </w:r>
      <w:r>
        <w:rPr>
          <w:rFonts w:ascii="Arial" w:hAnsi="Arial" w:cs="Arial"/>
          <w:sz w:val="20"/>
          <w:szCs w:val="20"/>
        </w:rPr>
        <w:t xml:space="preserve"> un état des lieux et un état détaillé du mobilier </w:t>
      </w:r>
      <w:r>
        <w:rPr>
          <w:rStyle w:val="FootnoteReference"/>
          <w:rFonts w:ascii="Arial" w:hAnsi="Arial"/>
          <w:sz w:val="20"/>
          <w:szCs w:val="20"/>
        </w:rPr>
        <w:footnoteReference w:id="19"/>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E.</w:t>
      </w:r>
      <w:r>
        <w:rPr>
          <w:rFonts w:ascii="Arial" w:hAnsi="Arial" w:cs="Arial"/>
          <w:sz w:val="20"/>
          <w:szCs w:val="20"/>
        </w:rPr>
        <w:t xml:space="preserve"> Le cas échéant, une autorisation préalable de mise en location </w:t>
      </w:r>
      <w:r>
        <w:rPr>
          <w:rStyle w:val="FootnoteReference"/>
          <w:rFonts w:ascii="Arial" w:hAnsi="Arial"/>
          <w:sz w:val="20"/>
          <w:szCs w:val="20"/>
        </w:rPr>
        <w:footnoteReference w:id="20"/>
      </w: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b/>
          <w:bCs/>
          <w:sz w:val="20"/>
          <w:szCs w:val="20"/>
        </w:rPr>
        <w:t>F.</w:t>
      </w:r>
      <w:r>
        <w:rPr>
          <w:rFonts w:ascii="Arial" w:hAnsi="Arial" w:cs="Arial"/>
          <w:sz w:val="20"/>
          <w:szCs w:val="20"/>
        </w:rPr>
        <w:t xml:space="preserve"> Le cas échéant, les références aux loyers habituellement constatés dans le v</w:t>
      </w:r>
      <w:r>
        <w:rPr>
          <w:rFonts w:ascii="Arial" w:hAnsi="Arial" w:cs="Arial"/>
          <w:sz w:val="20"/>
          <w:szCs w:val="20"/>
        </w:rPr>
        <w:t xml:space="preserve">oisinage pour des logements comparables </w:t>
      </w:r>
      <w:r>
        <w:rPr>
          <w:rStyle w:val="FootnoteReference"/>
          <w:rFonts w:ascii="Arial" w:hAnsi="Arial"/>
          <w:sz w:val="20"/>
          <w:szCs w:val="20"/>
        </w:rPr>
        <w:footnoteReference w:id="21"/>
      </w:r>
    </w:p>
    <w:p w:rsidR="00555920" w:rsidRDefault="00555920">
      <w:pPr>
        <w:pStyle w:val="Textbody"/>
        <w:rPr>
          <w:rFonts w:ascii="Arial" w:hAnsi="Arial" w:cs="Arial"/>
          <w:sz w:val="20"/>
          <w:szCs w:val="20"/>
        </w:rPr>
      </w:pPr>
    </w:p>
    <w:p w:rsidR="00555920" w:rsidRDefault="00555920">
      <w:pPr>
        <w:pStyle w:val="Textbody"/>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sz w:val="20"/>
          <w:szCs w:val="20"/>
        </w:rPr>
        <w:tab/>
        <w:t>Le [date]</w:t>
      </w:r>
      <w:r>
        <w:rPr>
          <w:rFonts w:ascii="Arial" w:eastAsia="Arial" w:hAnsi="Arial" w:cs="Arial"/>
          <w:sz w:val="20"/>
          <w:szCs w:val="20"/>
        </w:rPr>
        <w:t>, à [lieu]</w:t>
      </w: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sz w:val="20"/>
          <w:szCs w:val="20"/>
        </w:rPr>
      </w:pPr>
      <w:r>
        <w:rPr>
          <w:rFonts w:ascii="Arial" w:hAnsi="Arial" w:cs="Arial"/>
          <w:i/>
          <w:iCs/>
          <w:sz w:val="20"/>
          <w:szCs w:val="20"/>
        </w:rPr>
        <w:tab/>
      </w:r>
      <w:r>
        <w:rPr>
          <w:rFonts w:ascii="Arial" w:hAnsi="Arial" w:cs="Arial"/>
          <w:sz w:val="20"/>
          <w:szCs w:val="20"/>
        </w:rPr>
        <w:t>Signature du bailleur [o</w:t>
      </w:r>
      <w:r>
        <w:rPr>
          <w:rFonts w:ascii="Arial" w:hAnsi="Arial" w:cs="Arial"/>
          <w:sz w:val="20"/>
          <w:szCs w:val="20"/>
        </w:rPr>
        <w:t>u de son mandataire, le cas échéant]</w:t>
      </w:r>
    </w:p>
    <w:p w:rsidR="00555920" w:rsidRDefault="00555920">
      <w:pPr>
        <w:pStyle w:val="Standard"/>
        <w:jc w:val="both"/>
        <w:rPr>
          <w:rFonts w:ascii="Arial" w:hAnsi="Arial" w:cs="Arial"/>
          <w:i/>
          <w:iCs/>
          <w:sz w:val="20"/>
          <w:szCs w:val="20"/>
        </w:rPr>
      </w:pPr>
    </w:p>
    <w:p w:rsidR="00555920" w:rsidRDefault="00555920">
      <w:pPr>
        <w:pStyle w:val="Standard"/>
        <w:jc w:val="both"/>
        <w:rPr>
          <w:rFonts w:ascii="Arial" w:hAnsi="Arial" w:cs="Arial"/>
          <w:i/>
          <w:iCs/>
          <w:sz w:val="20"/>
          <w:szCs w:val="20"/>
        </w:rPr>
      </w:pPr>
    </w:p>
    <w:p w:rsidR="00555920" w:rsidRDefault="00555920">
      <w:pPr>
        <w:pStyle w:val="Standard"/>
        <w:jc w:val="both"/>
        <w:rPr>
          <w:rFonts w:ascii="Arial" w:hAnsi="Arial" w:cs="Arial"/>
          <w:i/>
          <w:iCs/>
          <w:sz w:val="20"/>
          <w:szCs w:val="20"/>
        </w:rPr>
      </w:pPr>
    </w:p>
    <w:p w:rsidR="00555920" w:rsidRDefault="00555920">
      <w:pPr>
        <w:pStyle w:val="Standard"/>
        <w:jc w:val="both"/>
        <w:rPr>
          <w:rFonts w:ascii="Arial" w:hAnsi="Arial" w:cs="Arial"/>
          <w:i/>
          <w:iCs/>
          <w:sz w:val="20"/>
          <w:szCs w:val="20"/>
        </w:rPr>
      </w:pPr>
    </w:p>
    <w:p w:rsidR="00555920" w:rsidRDefault="00B1473F">
      <w:pPr>
        <w:pStyle w:val="Standard"/>
        <w:jc w:val="both"/>
        <w:rPr>
          <w:rFonts w:ascii="Arial" w:eastAsia="Arial, HELVETICA" w:hAnsi="Arial" w:cs="Arial"/>
          <w:sz w:val="20"/>
          <w:szCs w:val="20"/>
        </w:rPr>
      </w:pPr>
      <w:r>
        <w:rPr>
          <w:rFonts w:ascii="Arial" w:eastAsia="Arial, HELVETICA" w:hAnsi="Arial" w:cs="Arial"/>
          <w:sz w:val="20"/>
          <w:szCs w:val="20"/>
        </w:rPr>
        <w:tab/>
        <w:t>Signature du locataire</w:t>
      </w: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555920">
      <w:pPr>
        <w:pStyle w:val="Standard"/>
        <w:jc w:val="both"/>
        <w:rPr>
          <w:rFonts w:ascii="Arial" w:hAnsi="Arial" w:cs="Arial"/>
          <w:sz w:val="20"/>
          <w:szCs w:val="20"/>
        </w:rPr>
      </w:pPr>
    </w:p>
    <w:p w:rsidR="00555920" w:rsidRDefault="00B1473F">
      <w:pPr>
        <w:pStyle w:val="Standard"/>
        <w:jc w:val="both"/>
        <w:rPr>
          <w:rFonts w:ascii="Arial" w:hAnsi="Arial" w:cs="Arial"/>
          <w:sz w:val="20"/>
          <w:szCs w:val="20"/>
        </w:rPr>
      </w:pPr>
      <w:r>
        <w:rPr>
          <w:rFonts w:ascii="Arial" w:hAnsi="Arial" w:cs="Arial"/>
          <w:sz w:val="20"/>
          <w:szCs w:val="20"/>
        </w:rPr>
        <w:t>Contrat type issu de l’annexe 2 du décret du 29 mai 2015</w:t>
      </w:r>
    </w:p>
    <w:p w:rsidR="00555920" w:rsidRDefault="00555920">
      <w:pPr>
        <w:pStyle w:val="Standard"/>
        <w:jc w:val="both"/>
        <w:rPr>
          <w:rFonts w:ascii="Arial" w:hAnsi="Arial"/>
          <w:sz w:val="20"/>
          <w:szCs w:val="20"/>
        </w:rPr>
      </w:pPr>
    </w:p>
    <w:p w:rsidR="00555920" w:rsidRDefault="00555920">
      <w:pPr>
        <w:pStyle w:val="Standard"/>
      </w:pPr>
    </w:p>
    <w:p w:rsidR="00555920" w:rsidRDefault="00555920">
      <w:pPr>
        <w:pStyle w:val="Standard"/>
      </w:pPr>
    </w:p>
    <w:p w:rsidR="00555920" w:rsidRDefault="00555920">
      <w:pPr>
        <w:pStyle w:val="Standard"/>
      </w:pPr>
    </w:p>
    <w:p w:rsidR="00555920" w:rsidRDefault="00555920">
      <w:pPr>
        <w:pStyle w:val="Standard"/>
      </w:pPr>
    </w:p>
    <w:p w:rsidR="00555920" w:rsidRDefault="00555920">
      <w:pPr>
        <w:pStyle w:val="Standard"/>
      </w:pPr>
    </w:p>
    <w:p w:rsidR="00555920" w:rsidRDefault="00555920">
      <w:pPr>
        <w:pStyle w:val="Standard"/>
      </w:pPr>
    </w:p>
    <w:p w:rsidR="00555920" w:rsidRDefault="00555920">
      <w:pPr>
        <w:pStyle w:val="Standard"/>
      </w:pPr>
    </w:p>
    <w:p w:rsidR="00555920" w:rsidRDefault="00555920">
      <w:pPr>
        <w:pStyle w:val="Standard"/>
      </w:pPr>
    </w:p>
    <w:tbl>
      <w:tblPr>
        <w:tblW w:w="5000" w:type="pct"/>
        <w:tblLayout w:type="fixed"/>
        <w:tblCellMar>
          <w:left w:w="10" w:type="dxa"/>
          <w:right w:w="10" w:type="dxa"/>
        </w:tblCellMar>
        <w:tblLook w:val="0000" w:firstRow="0" w:lastRow="0" w:firstColumn="0" w:lastColumn="0" w:noHBand="0" w:noVBand="0"/>
      </w:tblPr>
      <w:tblGrid>
        <w:gridCol w:w="10546"/>
      </w:tblGrid>
      <w:tr w:rsidR="00555920">
        <w:tblPrEx>
          <w:tblCellMar>
            <w:top w:w="0" w:type="dxa"/>
            <w:bottom w:w="0" w:type="dxa"/>
          </w:tblCellMar>
        </w:tblPrEx>
        <w:tc>
          <w:tcPr>
            <w:tcW w:w="10546" w:type="dxa"/>
            <w:shd w:val="clear" w:color="auto" w:fill="EEEEEE"/>
            <w:tcMar>
              <w:top w:w="113" w:type="dxa"/>
              <w:left w:w="113" w:type="dxa"/>
              <w:bottom w:w="113" w:type="dxa"/>
              <w:right w:w="113" w:type="dxa"/>
            </w:tcMar>
          </w:tcPr>
          <w:p w:rsidR="00555920" w:rsidRDefault="00B1473F">
            <w:pPr>
              <w:pStyle w:val="Textbody"/>
              <w:spacing w:after="0" w:line="200" w:lineRule="atLeast"/>
              <w:ind w:left="113" w:right="113"/>
              <w:jc w:val="both"/>
            </w:pPr>
            <w:r>
              <w:rPr>
                <w:rFonts w:ascii="Arial" w:hAnsi="Arial" w:cs="Arial"/>
                <w:b/>
                <w:bCs/>
                <w:color w:val="1C1C1C"/>
                <w:sz w:val="18"/>
                <w:szCs w:val="18"/>
              </w:rPr>
              <w:t>Rappel pour le locataire : n'oubliez pas de mettre votre compteur d’électricité à votre nom dès la signature du bail</w:t>
            </w:r>
            <w:r>
              <w:rPr>
                <w:rFonts w:ascii="Arial" w:hAnsi="Arial" w:cs="Arial"/>
                <w:color w:val="1C1C1C"/>
                <w:sz w:val="18"/>
                <w:szCs w:val="18"/>
              </w:rPr>
              <w:t>.</w:t>
            </w:r>
          </w:p>
          <w:p w:rsidR="00555920" w:rsidRDefault="00555920">
            <w:pPr>
              <w:pStyle w:val="Textbody"/>
              <w:spacing w:after="0" w:line="200" w:lineRule="atLeast"/>
              <w:ind w:left="113" w:right="113"/>
              <w:jc w:val="center"/>
              <w:rPr>
                <w:rFonts w:ascii="Arial" w:hAnsi="Arial" w:cs="Arial"/>
                <w:b/>
                <w:bCs/>
                <w:color w:val="1C1C1C"/>
                <w:sz w:val="18"/>
                <w:szCs w:val="18"/>
              </w:rPr>
            </w:pPr>
          </w:p>
          <w:p w:rsidR="00555920" w:rsidRDefault="00B1473F">
            <w:pPr>
              <w:pStyle w:val="Textbody"/>
              <w:spacing w:after="0" w:line="200" w:lineRule="atLeast"/>
              <w:ind w:left="113" w:right="113"/>
              <w:jc w:val="both"/>
            </w:pPr>
            <w:r>
              <w:rPr>
                <w:rFonts w:ascii="Arial" w:hAnsi="Arial" w:cs="Arial"/>
                <w:b/>
                <w:bCs/>
                <w:color w:val="1C1C1C"/>
                <w:sz w:val="18"/>
                <w:szCs w:val="18"/>
              </w:rPr>
              <w:t>Toutes les formalités</w:t>
            </w:r>
            <w:r>
              <w:rPr>
                <w:rFonts w:ascii="Arial" w:hAnsi="Arial" w:cs="Arial"/>
                <w:color w:val="1C1C1C"/>
                <w:sz w:val="18"/>
                <w:szCs w:val="18"/>
              </w:rPr>
              <w:t xml:space="preserve"> (administratives, redirection du courrier, …) </w:t>
            </w:r>
            <w:r>
              <w:rPr>
                <w:rFonts w:ascii="Arial" w:hAnsi="Arial" w:cs="Arial"/>
                <w:b/>
                <w:bCs/>
                <w:color w:val="1C1C1C"/>
                <w:sz w:val="18"/>
                <w:szCs w:val="18"/>
              </w:rPr>
              <w:t>et démarches</w:t>
            </w:r>
            <w:r>
              <w:rPr>
                <w:rFonts w:ascii="Arial" w:hAnsi="Arial" w:cs="Arial"/>
                <w:color w:val="1C1C1C"/>
                <w:sz w:val="18"/>
                <w:szCs w:val="18"/>
              </w:rPr>
              <w:t xml:space="preserve"> (activation du compteur d'électricité et/ou gaz, transfert des contrats, assurance obligatoire, etc.) </w:t>
            </w:r>
            <w:r>
              <w:rPr>
                <w:rFonts w:ascii="Arial" w:hAnsi="Arial" w:cs="Arial"/>
                <w:b/>
                <w:bCs/>
                <w:color w:val="1C1C1C"/>
                <w:sz w:val="18"/>
                <w:szCs w:val="18"/>
              </w:rPr>
              <w:t>se font maintenant facilement en ligne ou par téléphone. Un service grat</w:t>
            </w:r>
            <w:r>
              <w:rPr>
                <w:rFonts w:ascii="Arial" w:hAnsi="Arial" w:cs="Arial"/>
                <w:b/>
                <w:bCs/>
                <w:color w:val="1C1C1C"/>
                <w:sz w:val="18"/>
                <w:szCs w:val="18"/>
              </w:rPr>
              <w:t>uit pour les locataires est disponible au 09 87 67 16 61</w:t>
            </w:r>
            <w:r>
              <w:rPr>
                <w:rFonts w:ascii="Arial" w:hAnsi="Arial" w:cs="Arial"/>
                <w:color w:val="1C1C1C"/>
                <w:sz w:val="18"/>
                <w:szCs w:val="18"/>
              </w:rPr>
              <w:t>.</w:t>
            </w:r>
          </w:p>
          <w:p w:rsidR="00555920" w:rsidRDefault="00555920">
            <w:pPr>
              <w:pStyle w:val="Textbody"/>
              <w:spacing w:after="0" w:line="200" w:lineRule="atLeast"/>
              <w:ind w:left="113" w:right="113"/>
              <w:jc w:val="both"/>
              <w:rPr>
                <w:rFonts w:ascii="Arial" w:hAnsi="Arial" w:cs="Arial"/>
                <w:sz w:val="18"/>
                <w:szCs w:val="18"/>
              </w:rPr>
            </w:pPr>
          </w:p>
          <w:p w:rsidR="00555920" w:rsidRDefault="00B1473F">
            <w:pPr>
              <w:pStyle w:val="Standard"/>
              <w:spacing w:line="360" w:lineRule="auto"/>
              <w:jc w:val="center"/>
            </w:pPr>
            <w:r>
              <w:rPr>
                <w:rFonts w:ascii="Arial" w:hAnsi="Arial" w:cs="Arial"/>
                <w:b/>
                <w:bCs/>
                <w:color w:val="1C1C1C"/>
                <w:sz w:val="18"/>
                <w:szCs w:val="18"/>
              </w:rPr>
              <w:t xml:space="preserve">Avis 4.7 /5 • </w:t>
            </w:r>
            <w:r>
              <w:rPr>
                <w:rFonts w:ascii="Arial" w:hAnsi="Arial" w:cs="Arial"/>
                <w:b/>
                <w:bCs/>
                <w:color w:val="579D1C"/>
                <w:sz w:val="18"/>
                <w:szCs w:val="18"/>
              </w:rPr>
              <w:t>Excellent  ★ ★ ★ ★ ★</w:t>
            </w:r>
          </w:p>
          <w:p w:rsidR="00555920" w:rsidRDefault="00B1473F">
            <w:pPr>
              <w:pStyle w:val="Textbody"/>
              <w:spacing w:after="0" w:line="360" w:lineRule="auto"/>
              <w:ind w:left="113" w:right="113"/>
              <w:jc w:val="center"/>
              <w:rPr>
                <w:rFonts w:ascii="Arial" w:hAnsi="Arial" w:cs="Arial"/>
                <w:color w:val="1C1C1C"/>
                <w:sz w:val="16"/>
                <w:szCs w:val="16"/>
              </w:rPr>
            </w:pPr>
            <w:r>
              <w:rPr>
                <w:rFonts w:ascii="Arial" w:hAnsi="Arial" w:cs="Arial"/>
                <w:color w:val="1C1C1C"/>
                <w:sz w:val="16"/>
                <w:szCs w:val="16"/>
              </w:rPr>
              <w:t>Appel et service 100% gratuits pour les locataires. Lundi-vendredi 8H-21H ; samedi 8H30-18H30 ; dimanche 9H-18H.</w:t>
            </w:r>
          </w:p>
        </w:tc>
      </w:tr>
    </w:tbl>
    <w:p w:rsidR="00555920" w:rsidRDefault="00555920">
      <w:pPr>
        <w:pStyle w:val="Standard"/>
      </w:pPr>
    </w:p>
    <w:sectPr w:rsidR="00555920">
      <w:footerReference w:type="default" r:id="rId7"/>
      <w:pgSz w:w="11906" w:h="16838"/>
      <w:pgMar w:top="624" w:right="680" w:bottom="1190" w:left="680" w:header="720"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1473F">
      <w:r>
        <w:separator/>
      </w:r>
    </w:p>
  </w:endnote>
  <w:endnote w:type="continuationSeparator" w:id="0">
    <w:p w:rsidR="00000000" w:rsidRDefault="00B14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auto"/>
    <w:pitch w:val="variable"/>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Arial, HELVETICA">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auto"/>
    <w:pitch w:val="variable"/>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638" w:rsidRDefault="00B1473F">
    <w:pPr>
      <w:pStyle w:val="Footer"/>
      <w:rPr>
        <w:rFonts w:ascii="Arial" w:hAnsi="Arial"/>
        <w:sz w:val="18"/>
        <w:szCs w:val="18"/>
      </w:rPr>
    </w:pPr>
    <w:r>
      <w:rPr>
        <w:rFonts w:ascii="Arial" w:hAnsi="Arial"/>
        <w:sz w:val="18"/>
        <w:szCs w:val="18"/>
      </w:rPr>
      <w:t>Paraphes</w:t>
    </w:r>
    <w:r>
      <w:rPr>
        <w:rFonts w:ascii="Arial" w:hAnsi="Arial"/>
        <w:sz w:val="18"/>
        <w:szCs w:val="18"/>
      </w:rPr>
      <w:tab/>
    </w:r>
    <w:r>
      <w:rPr>
        <w:rFonts w:ascii="Arial" w:hAnsi="Arial"/>
        <w:sz w:val="18"/>
        <w:szCs w:val="18"/>
      </w:rPr>
      <w:tab/>
      <w:t xml:space="preserve">Page </w:t>
    </w:r>
    <w:r>
      <w:rPr>
        <w:rFonts w:ascii="Arial" w:hAnsi="Arial"/>
        <w:sz w:val="18"/>
        <w:szCs w:val="18"/>
      </w:rPr>
      <w:fldChar w:fldCharType="begin"/>
    </w:r>
    <w:r>
      <w:rPr>
        <w:rFonts w:ascii="Arial" w:hAnsi="Arial"/>
        <w:sz w:val="18"/>
        <w:szCs w:val="18"/>
      </w:rPr>
      <w:instrText xml:space="preserve"> PAGE </w:instrText>
    </w:r>
    <w:r>
      <w:rPr>
        <w:rFonts w:ascii="Arial" w:hAnsi="Arial"/>
        <w:sz w:val="18"/>
        <w:szCs w:val="18"/>
      </w:rPr>
      <w:fldChar w:fldCharType="separate"/>
    </w:r>
    <w:r>
      <w:rPr>
        <w:rFonts w:ascii="Arial" w:hAnsi="Arial"/>
        <w:noProof/>
        <w:sz w:val="18"/>
        <w:szCs w:val="18"/>
      </w:rPr>
      <w:t>1</w:t>
    </w:r>
    <w:r>
      <w:rPr>
        <w:rFonts w:ascii="Arial" w:hAnsi="Arial"/>
        <w:sz w:val="18"/>
        <w:szCs w:val="18"/>
      </w:rPr>
      <w:fldChar w:fldCharType="end"/>
    </w:r>
    <w:r>
      <w:rPr>
        <w:rFonts w:ascii="Arial" w:hAnsi="Arial"/>
        <w:sz w:val="18"/>
        <w:szCs w:val="18"/>
      </w:rPr>
      <w:t xml:space="preserve"> sur 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1473F">
      <w:r>
        <w:rPr>
          <w:color w:val="000000"/>
        </w:rPr>
        <w:separator/>
      </w:r>
    </w:p>
  </w:footnote>
  <w:footnote w:type="continuationSeparator" w:id="0">
    <w:p w:rsidR="00000000" w:rsidRDefault="00B1473F">
      <w:r>
        <w:continuationSeparator/>
      </w:r>
    </w:p>
  </w:footnote>
  <w:footnote w:id="1">
    <w:p w:rsidR="00555920" w:rsidRDefault="00B1473F">
      <w:pPr>
        <w:pStyle w:val="Standard"/>
        <w:rPr>
          <w:rFonts w:ascii="Arial" w:hAnsi="Arial" w:cs="Arial"/>
          <w:sz w:val="18"/>
          <w:szCs w:val="18"/>
        </w:rPr>
      </w:pPr>
      <w:r>
        <w:rPr>
          <w:rStyle w:val="FootnoteReference"/>
        </w:rPr>
        <w:footnoteRef/>
      </w:r>
      <w:r>
        <w:rPr>
          <w:rFonts w:ascii="Arial" w:hAnsi="Arial" w:cs="Arial"/>
          <w:sz w:val="18"/>
          <w:szCs w:val="18"/>
        </w:rPr>
        <w:t xml:space="preserve"> Préciser si la personne morale est une société civile constituée exclusivement entre parents et alliés jusqu'au quatrième degré inclus.</w:t>
      </w:r>
    </w:p>
  </w:footnote>
  <w:footnote w:id="2">
    <w:p w:rsidR="00555920" w:rsidRDefault="00B1473F">
      <w:pPr>
        <w:pStyle w:val="Standard"/>
        <w:jc w:val="both"/>
        <w:rPr>
          <w:rFonts w:ascii="Arial" w:hAnsi="Arial" w:cs="Arial"/>
          <w:sz w:val="18"/>
          <w:szCs w:val="18"/>
        </w:rPr>
      </w:pPr>
      <w:r>
        <w:rPr>
          <w:rStyle w:val="FootnoteReference"/>
        </w:rPr>
        <w:footnoteRef/>
      </w:r>
      <w:r>
        <w:rPr>
          <w:rFonts w:ascii="Arial" w:hAnsi="Arial" w:cs="Arial"/>
          <w:sz w:val="18"/>
          <w:szCs w:val="18"/>
        </w:rPr>
        <w:t xml:space="preserve"> A reproduire si pluralité de bailleur.</w:t>
      </w:r>
    </w:p>
  </w:footnote>
  <w:footnote w:id="3">
    <w:p w:rsidR="00555920" w:rsidRDefault="00B1473F">
      <w:pPr>
        <w:pStyle w:val="Standard"/>
        <w:rPr>
          <w:rFonts w:ascii="Arial" w:hAnsi="Arial" w:cs="Arial"/>
          <w:sz w:val="18"/>
          <w:szCs w:val="18"/>
        </w:rPr>
      </w:pPr>
      <w:r>
        <w:rPr>
          <w:rStyle w:val="FootnoteReference"/>
        </w:rPr>
        <w:footnoteRef/>
      </w:r>
      <w:r>
        <w:rPr>
          <w:rFonts w:ascii="Arial" w:hAnsi="Arial" w:cs="Arial"/>
          <w:sz w:val="18"/>
          <w:szCs w:val="18"/>
        </w:rPr>
        <w:t xml:space="preserve"> Mention obligatoire s'appliquant aux professionnels exerçant une activité mentionnée à l'article 1er de la loi n° 70-9 du 2 janvier 1970 réglementant les conditions d'exercice des activités relatives à certaines opérations port</w:t>
      </w:r>
      <w:r>
        <w:rPr>
          <w:rFonts w:ascii="Arial" w:hAnsi="Arial" w:cs="Arial"/>
          <w:sz w:val="18"/>
          <w:szCs w:val="18"/>
        </w:rPr>
        <w:t>ant sur les immeubles et les fonds de  commerce.</w:t>
      </w:r>
    </w:p>
  </w:footnote>
  <w:footnote w:id="4">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Si chauffage collectif, </w:t>
      </w:r>
      <w:r>
        <w:rPr>
          <w:rFonts w:ascii="Arial" w:hAnsi="Arial"/>
          <w:sz w:val="18"/>
          <w:szCs w:val="18"/>
        </w:rPr>
        <w:t>préciser les modalités de répartition de la consommation du locataire.</w:t>
      </w:r>
    </w:p>
  </w:footnote>
  <w:footnote w:id="5">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En cas de production </w:t>
      </w:r>
      <w:r>
        <w:rPr>
          <w:rFonts w:ascii="Arial" w:hAnsi="Arial"/>
          <w:sz w:val="18"/>
          <w:szCs w:val="18"/>
        </w:rPr>
        <w:t>collective, préciser les modalités de répartition de la consommation du locataire.</w:t>
      </w:r>
    </w:p>
  </w:footnote>
  <w:footnote w:id="6">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Lorsqu'un complément de loyer est appliqué, le loyer mensuel s'entend comme la somme du loyer de base et de ce complément.</w:t>
      </w:r>
    </w:p>
  </w:footnote>
  <w:footnote w:id="7">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Zones d'urbanisation continue de plus de 50 000 habitants où il existe un déséquilibre marqué entre l'offre et la demande de logements, entraîna</w:t>
      </w:r>
      <w:r>
        <w:rPr>
          <w:rFonts w:ascii="Arial" w:hAnsi="Arial"/>
          <w:sz w:val="18"/>
          <w:szCs w:val="18"/>
        </w:rPr>
        <w:t>nt des difficultés sérieuses d'accès au logement sur l'ensemble du parc résidentiel telles que définies par décret.</w:t>
      </w:r>
    </w:p>
  </w:footnote>
  <w:footnote w:id="8">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Mention obligatoire si le précédent locataire a quitté le logement moins de dix-huit mois avant la signature du bail.</w:t>
      </w:r>
    </w:p>
  </w:footnote>
  <w:footnote w:id="9">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Si les parties conviennent d'un forfait de charges et de sa révision annuelle, ce forfait est révisé dans les mêmes conditions que le loyer principal.</w:t>
      </w:r>
    </w:p>
  </w:footnote>
  <w:footnote w:id="10">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Au cours de l'exécution du contrat de location et dans les conditions prévues par la loi, les colocataires peuvent provoquer la résiliation de l'</w:t>
      </w:r>
      <w:r>
        <w:rPr>
          <w:rFonts w:ascii="Arial" w:hAnsi="Arial"/>
          <w:sz w:val="18"/>
          <w:szCs w:val="18"/>
        </w:rPr>
        <w:t>assurance souscrite par le</w:t>
      </w:r>
    </w:p>
    <w:p w:rsidR="00555920" w:rsidRDefault="00B1473F">
      <w:pPr>
        <w:pStyle w:val="Footnote"/>
        <w:rPr>
          <w:rFonts w:ascii="Arial" w:hAnsi="Arial"/>
          <w:sz w:val="18"/>
          <w:szCs w:val="18"/>
        </w:rPr>
      </w:pPr>
      <w:r>
        <w:rPr>
          <w:rFonts w:ascii="Arial" w:hAnsi="Arial"/>
          <w:sz w:val="18"/>
          <w:szCs w:val="18"/>
        </w:rPr>
        <w:t>bailleur pour leur compte.</w:t>
      </w:r>
    </w:p>
  </w:footnote>
  <w:footnote w:id="11">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Correspond au montant de la prime d'assurance annuelle, éventuellement majoré dans la limite</w:t>
      </w:r>
      <w:r>
        <w:rPr>
          <w:rFonts w:ascii="Arial" w:hAnsi="Arial"/>
          <w:sz w:val="18"/>
          <w:szCs w:val="18"/>
        </w:rPr>
        <w:t xml:space="preserve"> d'un montant fixé par</w:t>
      </w:r>
    </w:p>
    <w:p w:rsidR="00555920" w:rsidRDefault="00B1473F">
      <w:pPr>
        <w:pStyle w:val="Footnote"/>
        <w:rPr>
          <w:rFonts w:ascii="Arial" w:hAnsi="Arial"/>
          <w:sz w:val="18"/>
          <w:szCs w:val="18"/>
        </w:rPr>
      </w:pPr>
      <w:r>
        <w:rPr>
          <w:rFonts w:ascii="Arial" w:hAnsi="Arial"/>
          <w:sz w:val="18"/>
          <w:szCs w:val="18"/>
        </w:rPr>
        <w:t>décret en Conseil d'Etat.</w:t>
      </w:r>
    </w:p>
  </w:footnote>
  <w:footnote w:id="12">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Paiement mensuel de droit à tout moment à la demande du locataire.</w:t>
      </w:r>
    </w:p>
  </w:footnote>
  <w:footnote w:id="13">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Le cas échéant, préciser par ailleurs le montant des travaux d'amélioration effectués au cours des six dernier mois.</w:t>
      </w:r>
    </w:p>
  </w:footnote>
  <w:footnote w:id="14">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Clause invalide pour les travaux de mise en conformité aux caractéristiques de décence.</w:t>
      </w:r>
    </w:p>
  </w:footnote>
  <w:footnote w:id="15">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A mentionner lorsque le contrat de location est conclu avec le concours d'une p</w:t>
      </w:r>
      <w:r>
        <w:rPr>
          <w:rFonts w:ascii="Arial" w:hAnsi="Arial"/>
          <w:sz w:val="18"/>
          <w:szCs w:val="18"/>
        </w:rPr>
        <w:t>ersonne mandatée et rémunérée à cette fin.</w:t>
      </w:r>
    </w:p>
  </w:footnote>
  <w:footnote w:id="16">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A compter de l'entrée en vigueur du décret d'application lisant notamment les matériaux ou produits concernés.</w:t>
      </w:r>
    </w:p>
  </w:footnote>
  <w:footnote w:id="17">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A compter de la date d'entrée en vigueur de cette disposition, prévue par décret.</w:t>
      </w:r>
    </w:p>
  </w:footnote>
  <w:footnote w:id="18">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La liste des communes comprises dans ces zones est définie loca</w:t>
      </w:r>
      <w:r>
        <w:rPr>
          <w:rFonts w:ascii="Arial" w:hAnsi="Arial"/>
          <w:sz w:val="18"/>
          <w:szCs w:val="18"/>
        </w:rPr>
        <w:t>lement par arrêté préfectoral.</w:t>
      </w:r>
    </w:p>
  </w:footnote>
  <w:footnote w:id="19">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Ces documents sont établis lors de la remise des clés, dont la date peut être ultérieure à celle de concl</w:t>
      </w:r>
      <w:r>
        <w:rPr>
          <w:rFonts w:ascii="Arial" w:hAnsi="Arial"/>
          <w:sz w:val="18"/>
          <w:szCs w:val="18"/>
        </w:rPr>
        <w:t>usion du contrat.</w:t>
      </w:r>
    </w:p>
  </w:footnote>
  <w:footnote w:id="20">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Dispositif applicable dans certains territoires présentant une proportion importante d'habitat dégradé délimité localement par l'établissement public de coopération in</w:t>
      </w:r>
      <w:r>
        <w:rPr>
          <w:rFonts w:ascii="Arial" w:hAnsi="Arial"/>
          <w:sz w:val="18"/>
          <w:szCs w:val="18"/>
        </w:rPr>
        <w:t>tercommunale compétent en matière d'habitat ou, à défaut, le conseil municipal (art. 92 de la loi n° 2014-366 du 24 mars 2014 pour l'accès au logement et un urbanisme rénové).</w:t>
      </w:r>
    </w:p>
  </w:footnote>
  <w:footnote w:id="21">
    <w:p w:rsidR="00555920" w:rsidRDefault="00B1473F">
      <w:pPr>
        <w:pStyle w:val="Footnote"/>
        <w:ind w:left="0" w:firstLine="0"/>
        <w:rPr>
          <w:rFonts w:ascii="Arial" w:hAnsi="Arial"/>
          <w:sz w:val="18"/>
          <w:szCs w:val="18"/>
        </w:rPr>
      </w:pPr>
      <w:r>
        <w:rPr>
          <w:rStyle w:val="FootnoteReference"/>
        </w:rPr>
        <w:footnoteRef/>
      </w:r>
      <w:r>
        <w:rPr>
          <w:rFonts w:ascii="Arial" w:hAnsi="Arial"/>
          <w:sz w:val="18"/>
          <w:szCs w:val="18"/>
        </w:rPr>
        <w:t xml:space="preserve"> Lorsque la détermination du montant du loyer est la conséquence d'une procédure liée au fait que le loyer précédemment appliqué était manifestement sous-évalué.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030"/>
    <w:multiLevelType w:val="multilevel"/>
    <w:tmpl w:val="1284C242"/>
    <w:styleLink w:val="WWNum3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0405834"/>
    <w:multiLevelType w:val="multilevel"/>
    <w:tmpl w:val="25E8B00E"/>
    <w:styleLink w:val="WWNum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0E8614E"/>
    <w:multiLevelType w:val="multilevel"/>
    <w:tmpl w:val="7ED66E72"/>
    <w:styleLink w:val="WWNum108"/>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 w15:restartNumberingAfterBreak="0">
    <w:nsid w:val="00EC7C54"/>
    <w:multiLevelType w:val="multilevel"/>
    <w:tmpl w:val="D33ADD0E"/>
    <w:styleLink w:val="WWNum14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 w15:restartNumberingAfterBreak="0">
    <w:nsid w:val="01030CA3"/>
    <w:multiLevelType w:val="multilevel"/>
    <w:tmpl w:val="FC8C1F60"/>
    <w:styleLink w:val="WWNum2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01D5001E"/>
    <w:multiLevelType w:val="multilevel"/>
    <w:tmpl w:val="6EDC5046"/>
    <w:styleLink w:val="WWNum3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02B75155"/>
    <w:multiLevelType w:val="multilevel"/>
    <w:tmpl w:val="DC3A3B6A"/>
    <w:styleLink w:val="WWNum1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 w15:restartNumberingAfterBreak="0">
    <w:nsid w:val="037F40D2"/>
    <w:multiLevelType w:val="multilevel"/>
    <w:tmpl w:val="D152D952"/>
    <w:styleLink w:val="WWNum3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045974A6"/>
    <w:multiLevelType w:val="multilevel"/>
    <w:tmpl w:val="A9223258"/>
    <w:styleLink w:val="WWNum1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048462A3"/>
    <w:multiLevelType w:val="multilevel"/>
    <w:tmpl w:val="CA3AA678"/>
    <w:styleLink w:val="WWNum6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0" w15:restartNumberingAfterBreak="0">
    <w:nsid w:val="04DE748C"/>
    <w:multiLevelType w:val="multilevel"/>
    <w:tmpl w:val="EE525C7E"/>
    <w:styleLink w:val="WWNum6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 w15:restartNumberingAfterBreak="0">
    <w:nsid w:val="0551275E"/>
    <w:multiLevelType w:val="multilevel"/>
    <w:tmpl w:val="D62AA94A"/>
    <w:styleLink w:val="WWNum1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05541093"/>
    <w:multiLevelType w:val="multilevel"/>
    <w:tmpl w:val="2EBC5474"/>
    <w:styleLink w:val="WWNum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05AC592E"/>
    <w:multiLevelType w:val="multilevel"/>
    <w:tmpl w:val="0ACA4F96"/>
    <w:styleLink w:val="WWNum2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0610310D"/>
    <w:multiLevelType w:val="multilevel"/>
    <w:tmpl w:val="E7F67518"/>
    <w:styleLink w:val="WWNum2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06214DEF"/>
    <w:multiLevelType w:val="multilevel"/>
    <w:tmpl w:val="FFD63814"/>
    <w:styleLink w:val="WWNum2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069E07E4"/>
    <w:multiLevelType w:val="multilevel"/>
    <w:tmpl w:val="C2908BD0"/>
    <w:styleLink w:val="WWNum2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06AA4C7A"/>
    <w:multiLevelType w:val="multilevel"/>
    <w:tmpl w:val="52227A26"/>
    <w:styleLink w:val="WWNum2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06AF295B"/>
    <w:multiLevelType w:val="multilevel"/>
    <w:tmpl w:val="A844A1B6"/>
    <w:styleLink w:val="WWNum14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9" w15:restartNumberingAfterBreak="0">
    <w:nsid w:val="0731012E"/>
    <w:multiLevelType w:val="multilevel"/>
    <w:tmpl w:val="CC0686CE"/>
    <w:styleLink w:val="WWNum1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07A501D5"/>
    <w:multiLevelType w:val="multilevel"/>
    <w:tmpl w:val="E3B40992"/>
    <w:styleLink w:val="WWNum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07E878E0"/>
    <w:multiLevelType w:val="multilevel"/>
    <w:tmpl w:val="F22E5098"/>
    <w:styleLink w:val="WWNum16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07F32ED4"/>
    <w:multiLevelType w:val="multilevel"/>
    <w:tmpl w:val="61044DE6"/>
    <w:styleLink w:val="WWNum14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 w15:restartNumberingAfterBreak="0">
    <w:nsid w:val="08CB7ADE"/>
    <w:multiLevelType w:val="multilevel"/>
    <w:tmpl w:val="DA50BA7C"/>
    <w:styleLink w:val="WWNum2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097B6651"/>
    <w:multiLevelType w:val="multilevel"/>
    <w:tmpl w:val="1F00BD44"/>
    <w:styleLink w:val="WWNum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 w15:restartNumberingAfterBreak="0">
    <w:nsid w:val="09AA76E7"/>
    <w:multiLevelType w:val="multilevel"/>
    <w:tmpl w:val="B2CA8826"/>
    <w:styleLink w:val="WWNum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 w15:restartNumberingAfterBreak="0">
    <w:nsid w:val="09AE0C47"/>
    <w:multiLevelType w:val="multilevel"/>
    <w:tmpl w:val="531A767E"/>
    <w:styleLink w:val="WWNum9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 w15:restartNumberingAfterBreak="0">
    <w:nsid w:val="0A022AF5"/>
    <w:multiLevelType w:val="multilevel"/>
    <w:tmpl w:val="50F07426"/>
    <w:styleLink w:val="WWNum2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0B394449"/>
    <w:multiLevelType w:val="multilevel"/>
    <w:tmpl w:val="D43A4682"/>
    <w:styleLink w:val="WWNum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15:restartNumberingAfterBreak="0">
    <w:nsid w:val="0B9D2772"/>
    <w:multiLevelType w:val="multilevel"/>
    <w:tmpl w:val="F2984EE8"/>
    <w:styleLink w:val="WWNum3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0BD23177"/>
    <w:multiLevelType w:val="multilevel"/>
    <w:tmpl w:val="AD66AD94"/>
    <w:styleLink w:val="WWNum2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 w15:restartNumberingAfterBreak="0">
    <w:nsid w:val="0BEE6DA7"/>
    <w:multiLevelType w:val="multilevel"/>
    <w:tmpl w:val="FC8C1E10"/>
    <w:styleLink w:val="WWNum1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0C873A7F"/>
    <w:multiLevelType w:val="multilevel"/>
    <w:tmpl w:val="8FD086E4"/>
    <w:styleLink w:val="WWNum2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0C886623"/>
    <w:multiLevelType w:val="multilevel"/>
    <w:tmpl w:val="569C0F5A"/>
    <w:styleLink w:val="WWNum210"/>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4" w15:restartNumberingAfterBreak="0">
    <w:nsid w:val="0C955B2D"/>
    <w:multiLevelType w:val="multilevel"/>
    <w:tmpl w:val="15ACD62A"/>
    <w:styleLink w:val="WWNum2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 w15:restartNumberingAfterBreak="0">
    <w:nsid w:val="0CA9684E"/>
    <w:multiLevelType w:val="multilevel"/>
    <w:tmpl w:val="9578ABA2"/>
    <w:styleLink w:val="WWNum6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6" w15:restartNumberingAfterBreak="0">
    <w:nsid w:val="0D4674B0"/>
    <w:multiLevelType w:val="multilevel"/>
    <w:tmpl w:val="B8BC8D4A"/>
    <w:styleLink w:val="WWNum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7" w15:restartNumberingAfterBreak="0">
    <w:nsid w:val="0D6E615E"/>
    <w:multiLevelType w:val="multilevel"/>
    <w:tmpl w:val="1EE6A858"/>
    <w:styleLink w:val="WWNum20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8" w15:restartNumberingAfterBreak="0">
    <w:nsid w:val="0D714EE0"/>
    <w:multiLevelType w:val="multilevel"/>
    <w:tmpl w:val="6AB28522"/>
    <w:styleLink w:val="WWNum33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9" w15:restartNumberingAfterBreak="0">
    <w:nsid w:val="0D8F6B2D"/>
    <w:multiLevelType w:val="multilevel"/>
    <w:tmpl w:val="C012FE02"/>
    <w:styleLink w:val="WWNum14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0" w15:restartNumberingAfterBreak="0">
    <w:nsid w:val="0DCF7B15"/>
    <w:multiLevelType w:val="multilevel"/>
    <w:tmpl w:val="48FEA924"/>
    <w:styleLink w:val="WWNum26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1" w15:restartNumberingAfterBreak="0">
    <w:nsid w:val="0DE54B47"/>
    <w:multiLevelType w:val="multilevel"/>
    <w:tmpl w:val="425A0D36"/>
    <w:styleLink w:val="WWNum1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2" w15:restartNumberingAfterBreak="0">
    <w:nsid w:val="0DF10B05"/>
    <w:multiLevelType w:val="multilevel"/>
    <w:tmpl w:val="C2C0F07A"/>
    <w:styleLink w:val="WWNum1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3" w15:restartNumberingAfterBreak="0">
    <w:nsid w:val="0E080C63"/>
    <w:multiLevelType w:val="multilevel"/>
    <w:tmpl w:val="B0FAE798"/>
    <w:styleLink w:val="WWNum1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 w15:restartNumberingAfterBreak="0">
    <w:nsid w:val="0E306E20"/>
    <w:multiLevelType w:val="multilevel"/>
    <w:tmpl w:val="2860774C"/>
    <w:styleLink w:val="WWNum1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45" w15:restartNumberingAfterBreak="0">
    <w:nsid w:val="0ECB3B42"/>
    <w:multiLevelType w:val="multilevel"/>
    <w:tmpl w:val="157A4684"/>
    <w:styleLink w:val="WWNum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 w15:restartNumberingAfterBreak="0">
    <w:nsid w:val="0ED0681A"/>
    <w:multiLevelType w:val="multilevel"/>
    <w:tmpl w:val="FAF424E6"/>
    <w:styleLink w:val="WWNum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 w15:restartNumberingAfterBreak="0">
    <w:nsid w:val="0F184393"/>
    <w:multiLevelType w:val="multilevel"/>
    <w:tmpl w:val="318C47EE"/>
    <w:styleLink w:val="WWNum1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 w15:restartNumberingAfterBreak="0">
    <w:nsid w:val="0F590D66"/>
    <w:multiLevelType w:val="multilevel"/>
    <w:tmpl w:val="61486FBE"/>
    <w:styleLink w:val="WWNum156"/>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9" w15:restartNumberingAfterBreak="0">
    <w:nsid w:val="0FF43B75"/>
    <w:multiLevelType w:val="multilevel"/>
    <w:tmpl w:val="6D18A26C"/>
    <w:styleLink w:val="WWNum1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0" w15:restartNumberingAfterBreak="0">
    <w:nsid w:val="101E04B3"/>
    <w:multiLevelType w:val="multilevel"/>
    <w:tmpl w:val="D9DA0D48"/>
    <w:styleLink w:val="WWNum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1" w15:restartNumberingAfterBreak="0">
    <w:nsid w:val="106D6A32"/>
    <w:multiLevelType w:val="multilevel"/>
    <w:tmpl w:val="B852AE8C"/>
    <w:styleLink w:val="WWNum2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2" w15:restartNumberingAfterBreak="0">
    <w:nsid w:val="11040CC2"/>
    <w:multiLevelType w:val="multilevel"/>
    <w:tmpl w:val="3324577C"/>
    <w:styleLink w:val="WWNum2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3" w15:restartNumberingAfterBreak="0">
    <w:nsid w:val="110813AA"/>
    <w:multiLevelType w:val="multilevel"/>
    <w:tmpl w:val="231AEC90"/>
    <w:styleLink w:val="WWNum3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 w15:restartNumberingAfterBreak="0">
    <w:nsid w:val="11163D19"/>
    <w:multiLevelType w:val="multilevel"/>
    <w:tmpl w:val="2C02CF9A"/>
    <w:styleLink w:val="WWNum2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 w15:restartNumberingAfterBreak="0">
    <w:nsid w:val="112C6914"/>
    <w:multiLevelType w:val="multilevel"/>
    <w:tmpl w:val="F2568FCC"/>
    <w:styleLink w:val="WWNum1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6" w15:restartNumberingAfterBreak="0">
    <w:nsid w:val="11385434"/>
    <w:multiLevelType w:val="multilevel"/>
    <w:tmpl w:val="4F10A330"/>
    <w:styleLink w:val="WWNum3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7" w15:restartNumberingAfterBreak="0">
    <w:nsid w:val="116A3CAD"/>
    <w:multiLevelType w:val="multilevel"/>
    <w:tmpl w:val="054A2EBE"/>
    <w:styleLink w:val="WWNum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8" w15:restartNumberingAfterBreak="0">
    <w:nsid w:val="118B3314"/>
    <w:multiLevelType w:val="multilevel"/>
    <w:tmpl w:val="6EC6179E"/>
    <w:styleLink w:val="WWNum3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9" w15:restartNumberingAfterBreak="0">
    <w:nsid w:val="119363EB"/>
    <w:multiLevelType w:val="multilevel"/>
    <w:tmpl w:val="D4DEDFA4"/>
    <w:styleLink w:val="WWNum2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0" w15:restartNumberingAfterBreak="0">
    <w:nsid w:val="12370042"/>
    <w:multiLevelType w:val="multilevel"/>
    <w:tmpl w:val="0406A020"/>
    <w:styleLink w:val="WWNum2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1" w15:restartNumberingAfterBreak="0">
    <w:nsid w:val="12447321"/>
    <w:multiLevelType w:val="multilevel"/>
    <w:tmpl w:val="184A5012"/>
    <w:styleLink w:val="WWNum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2" w15:restartNumberingAfterBreak="0">
    <w:nsid w:val="128472FD"/>
    <w:multiLevelType w:val="multilevel"/>
    <w:tmpl w:val="6C22D27A"/>
    <w:styleLink w:val="WWNum32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63" w15:restartNumberingAfterBreak="0">
    <w:nsid w:val="12A6104E"/>
    <w:multiLevelType w:val="multilevel"/>
    <w:tmpl w:val="6CEE63E2"/>
    <w:styleLink w:val="WWNum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4" w15:restartNumberingAfterBreak="0">
    <w:nsid w:val="12F04827"/>
    <w:multiLevelType w:val="multilevel"/>
    <w:tmpl w:val="66F8D830"/>
    <w:styleLink w:val="WWNum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5" w15:restartNumberingAfterBreak="0">
    <w:nsid w:val="133051C2"/>
    <w:multiLevelType w:val="multilevel"/>
    <w:tmpl w:val="8D3A6804"/>
    <w:styleLink w:val="WWNum2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6" w15:restartNumberingAfterBreak="0">
    <w:nsid w:val="13985E1B"/>
    <w:multiLevelType w:val="multilevel"/>
    <w:tmpl w:val="F3523162"/>
    <w:styleLink w:val="WWNum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7" w15:restartNumberingAfterBreak="0">
    <w:nsid w:val="139A2011"/>
    <w:multiLevelType w:val="multilevel"/>
    <w:tmpl w:val="AE9AD82A"/>
    <w:styleLink w:val="WWNum1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8" w15:restartNumberingAfterBreak="0">
    <w:nsid w:val="14384E54"/>
    <w:multiLevelType w:val="multilevel"/>
    <w:tmpl w:val="3F08A058"/>
    <w:styleLink w:val="WWNum16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9" w15:restartNumberingAfterBreak="0">
    <w:nsid w:val="154D6EA2"/>
    <w:multiLevelType w:val="multilevel"/>
    <w:tmpl w:val="38581B96"/>
    <w:styleLink w:val="WWNum10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0" w15:restartNumberingAfterBreak="0">
    <w:nsid w:val="1582424C"/>
    <w:multiLevelType w:val="multilevel"/>
    <w:tmpl w:val="257C6E84"/>
    <w:styleLink w:val="WWNum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1" w15:restartNumberingAfterBreak="0">
    <w:nsid w:val="15AB0332"/>
    <w:multiLevelType w:val="multilevel"/>
    <w:tmpl w:val="7350467C"/>
    <w:styleLink w:val="WWNum9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2" w15:restartNumberingAfterBreak="0">
    <w:nsid w:val="16806AA4"/>
    <w:multiLevelType w:val="multilevel"/>
    <w:tmpl w:val="CA86F032"/>
    <w:styleLink w:val="WWNum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3" w15:restartNumberingAfterBreak="0">
    <w:nsid w:val="178F0862"/>
    <w:multiLevelType w:val="multilevel"/>
    <w:tmpl w:val="99F6E29C"/>
    <w:styleLink w:val="WWNum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4" w15:restartNumberingAfterBreak="0">
    <w:nsid w:val="17943821"/>
    <w:multiLevelType w:val="multilevel"/>
    <w:tmpl w:val="F118C9DC"/>
    <w:styleLink w:val="WWNum3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5" w15:restartNumberingAfterBreak="0">
    <w:nsid w:val="17BB050F"/>
    <w:multiLevelType w:val="multilevel"/>
    <w:tmpl w:val="60E6C956"/>
    <w:styleLink w:val="WWNum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6" w15:restartNumberingAfterBreak="0">
    <w:nsid w:val="18B04537"/>
    <w:multiLevelType w:val="multilevel"/>
    <w:tmpl w:val="3908689A"/>
    <w:styleLink w:val="WWNum9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7" w15:restartNumberingAfterBreak="0">
    <w:nsid w:val="192F5FD9"/>
    <w:multiLevelType w:val="multilevel"/>
    <w:tmpl w:val="BA365594"/>
    <w:styleLink w:val="WWNum10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8" w15:restartNumberingAfterBreak="0">
    <w:nsid w:val="194F2DB6"/>
    <w:multiLevelType w:val="multilevel"/>
    <w:tmpl w:val="C9A2FDFA"/>
    <w:styleLink w:val="WWNum1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9" w15:restartNumberingAfterBreak="0">
    <w:nsid w:val="19D95B48"/>
    <w:multiLevelType w:val="multilevel"/>
    <w:tmpl w:val="414C7FEC"/>
    <w:styleLink w:val="WWNum1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0" w15:restartNumberingAfterBreak="0">
    <w:nsid w:val="1A153F58"/>
    <w:multiLevelType w:val="multilevel"/>
    <w:tmpl w:val="84484354"/>
    <w:styleLink w:val="WWNum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1" w15:restartNumberingAfterBreak="0">
    <w:nsid w:val="1B750E6A"/>
    <w:multiLevelType w:val="multilevel"/>
    <w:tmpl w:val="63529A2C"/>
    <w:styleLink w:val="WWNum3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2" w15:restartNumberingAfterBreak="0">
    <w:nsid w:val="1BF07812"/>
    <w:multiLevelType w:val="multilevel"/>
    <w:tmpl w:val="58BC92D8"/>
    <w:styleLink w:val="WWNum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3" w15:restartNumberingAfterBreak="0">
    <w:nsid w:val="1CE0704C"/>
    <w:multiLevelType w:val="multilevel"/>
    <w:tmpl w:val="D6F03D58"/>
    <w:styleLink w:val="WWNum5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4" w15:restartNumberingAfterBreak="0">
    <w:nsid w:val="1D980810"/>
    <w:multiLevelType w:val="multilevel"/>
    <w:tmpl w:val="EA848F68"/>
    <w:styleLink w:val="WWNum1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5" w15:restartNumberingAfterBreak="0">
    <w:nsid w:val="1D9A4F7A"/>
    <w:multiLevelType w:val="multilevel"/>
    <w:tmpl w:val="99FCF41A"/>
    <w:styleLink w:val="WWNum2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6" w15:restartNumberingAfterBreak="0">
    <w:nsid w:val="1DC96DE2"/>
    <w:multiLevelType w:val="multilevel"/>
    <w:tmpl w:val="9E2A5794"/>
    <w:styleLink w:val="WWNum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7" w15:restartNumberingAfterBreak="0">
    <w:nsid w:val="1DE05864"/>
    <w:multiLevelType w:val="multilevel"/>
    <w:tmpl w:val="9A263632"/>
    <w:styleLink w:val="WWNum1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88" w15:restartNumberingAfterBreak="0">
    <w:nsid w:val="1E3D5036"/>
    <w:multiLevelType w:val="multilevel"/>
    <w:tmpl w:val="D7903D6E"/>
    <w:styleLink w:val="WWNum1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9" w15:restartNumberingAfterBreak="0">
    <w:nsid w:val="1E6B3594"/>
    <w:multiLevelType w:val="multilevel"/>
    <w:tmpl w:val="6ED43162"/>
    <w:styleLink w:val="WWNum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0" w15:restartNumberingAfterBreak="0">
    <w:nsid w:val="1EC640E7"/>
    <w:multiLevelType w:val="multilevel"/>
    <w:tmpl w:val="1BD63AD6"/>
    <w:styleLink w:val="WWNum157"/>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91" w15:restartNumberingAfterBreak="0">
    <w:nsid w:val="1F3A2489"/>
    <w:multiLevelType w:val="multilevel"/>
    <w:tmpl w:val="A03EDF62"/>
    <w:styleLink w:val="WWNum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2" w15:restartNumberingAfterBreak="0">
    <w:nsid w:val="1FF47B9F"/>
    <w:multiLevelType w:val="multilevel"/>
    <w:tmpl w:val="B98C9E64"/>
    <w:styleLink w:val="WWNum2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3" w15:restartNumberingAfterBreak="0">
    <w:nsid w:val="20936AFA"/>
    <w:multiLevelType w:val="multilevel"/>
    <w:tmpl w:val="B2CEF92A"/>
    <w:styleLink w:val="WWNum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4" w15:restartNumberingAfterBreak="0">
    <w:nsid w:val="20E34FE1"/>
    <w:multiLevelType w:val="multilevel"/>
    <w:tmpl w:val="7B8AC514"/>
    <w:styleLink w:val="WWNum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5" w15:restartNumberingAfterBreak="0">
    <w:nsid w:val="213A7343"/>
    <w:multiLevelType w:val="multilevel"/>
    <w:tmpl w:val="3EA49F00"/>
    <w:styleLink w:val="WWNum1"/>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96" w15:restartNumberingAfterBreak="0">
    <w:nsid w:val="219E56DA"/>
    <w:multiLevelType w:val="multilevel"/>
    <w:tmpl w:val="71B830F8"/>
    <w:styleLink w:val="WWNum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7" w15:restartNumberingAfterBreak="0">
    <w:nsid w:val="21F142FF"/>
    <w:multiLevelType w:val="multilevel"/>
    <w:tmpl w:val="DB54E848"/>
    <w:styleLink w:val="WWNum17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8" w15:restartNumberingAfterBreak="0">
    <w:nsid w:val="224906E9"/>
    <w:multiLevelType w:val="multilevel"/>
    <w:tmpl w:val="943EACDC"/>
    <w:styleLink w:val="WWNum2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9" w15:restartNumberingAfterBreak="0">
    <w:nsid w:val="22FC5116"/>
    <w:multiLevelType w:val="multilevel"/>
    <w:tmpl w:val="0BFE86A2"/>
    <w:styleLink w:val="WWNum1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0" w15:restartNumberingAfterBreak="0">
    <w:nsid w:val="23094436"/>
    <w:multiLevelType w:val="multilevel"/>
    <w:tmpl w:val="3A645706"/>
    <w:styleLink w:val="WWNum24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1" w15:restartNumberingAfterBreak="0">
    <w:nsid w:val="233F53DA"/>
    <w:multiLevelType w:val="multilevel"/>
    <w:tmpl w:val="47563916"/>
    <w:styleLink w:val="WWNum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2" w15:restartNumberingAfterBreak="0">
    <w:nsid w:val="2361701D"/>
    <w:multiLevelType w:val="multilevel"/>
    <w:tmpl w:val="AB92A53E"/>
    <w:styleLink w:val="WWNum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3" w15:restartNumberingAfterBreak="0">
    <w:nsid w:val="2375670B"/>
    <w:multiLevelType w:val="multilevel"/>
    <w:tmpl w:val="BEBE189A"/>
    <w:styleLink w:val="WWNum14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04" w15:restartNumberingAfterBreak="0">
    <w:nsid w:val="23B87B5F"/>
    <w:multiLevelType w:val="multilevel"/>
    <w:tmpl w:val="6982424E"/>
    <w:styleLink w:val="WWNum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5" w15:restartNumberingAfterBreak="0">
    <w:nsid w:val="23BE78FF"/>
    <w:multiLevelType w:val="multilevel"/>
    <w:tmpl w:val="538ECF24"/>
    <w:styleLink w:val="WWNum14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06" w15:restartNumberingAfterBreak="0">
    <w:nsid w:val="23DA2505"/>
    <w:multiLevelType w:val="multilevel"/>
    <w:tmpl w:val="F7BA301C"/>
    <w:styleLink w:val="WWNum9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07" w15:restartNumberingAfterBreak="0">
    <w:nsid w:val="23F65065"/>
    <w:multiLevelType w:val="multilevel"/>
    <w:tmpl w:val="FD88F7C6"/>
    <w:styleLink w:val="WWNum107"/>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08" w15:restartNumberingAfterBreak="0">
    <w:nsid w:val="243E294B"/>
    <w:multiLevelType w:val="multilevel"/>
    <w:tmpl w:val="C06C7E30"/>
    <w:styleLink w:val="WWNum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9" w15:restartNumberingAfterBreak="0">
    <w:nsid w:val="245040EC"/>
    <w:multiLevelType w:val="multilevel"/>
    <w:tmpl w:val="B7CCA57A"/>
    <w:styleLink w:val="WWNum208"/>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10" w15:restartNumberingAfterBreak="0">
    <w:nsid w:val="24C31299"/>
    <w:multiLevelType w:val="multilevel"/>
    <w:tmpl w:val="5B400026"/>
    <w:styleLink w:val="WWNum1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1" w15:restartNumberingAfterBreak="0">
    <w:nsid w:val="24F2003D"/>
    <w:multiLevelType w:val="multilevel"/>
    <w:tmpl w:val="87EE2C24"/>
    <w:styleLink w:val="WWNum1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2" w15:restartNumberingAfterBreak="0">
    <w:nsid w:val="25113D17"/>
    <w:multiLevelType w:val="multilevel"/>
    <w:tmpl w:val="DB18B720"/>
    <w:styleLink w:val="WWNum69"/>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13" w15:restartNumberingAfterBreak="0">
    <w:nsid w:val="25B419F3"/>
    <w:multiLevelType w:val="multilevel"/>
    <w:tmpl w:val="7FA0C288"/>
    <w:styleLink w:val="WWNum3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4" w15:restartNumberingAfterBreak="0">
    <w:nsid w:val="2628138B"/>
    <w:multiLevelType w:val="multilevel"/>
    <w:tmpl w:val="CCEABCEA"/>
    <w:styleLink w:val="WWNum2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5" w15:restartNumberingAfterBreak="0">
    <w:nsid w:val="2632058B"/>
    <w:multiLevelType w:val="multilevel"/>
    <w:tmpl w:val="ADE6E4CC"/>
    <w:styleLink w:val="WWNum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6" w15:restartNumberingAfterBreak="0">
    <w:nsid w:val="26B056C8"/>
    <w:multiLevelType w:val="multilevel"/>
    <w:tmpl w:val="17F09BA0"/>
    <w:styleLink w:val="WWNum1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7" w15:restartNumberingAfterBreak="0">
    <w:nsid w:val="27B513F8"/>
    <w:multiLevelType w:val="multilevel"/>
    <w:tmpl w:val="A11AFB4A"/>
    <w:styleLink w:val="WWNum9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8" w15:restartNumberingAfterBreak="0">
    <w:nsid w:val="282D7E08"/>
    <w:multiLevelType w:val="multilevel"/>
    <w:tmpl w:val="B4162C34"/>
    <w:styleLink w:val="WWNum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9" w15:restartNumberingAfterBreak="0">
    <w:nsid w:val="28906541"/>
    <w:multiLevelType w:val="multilevel"/>
    <w:tmpl w:val="983802CE"/>
    <w:styleLink w:val="WWNum6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0" w15:restartNumberingAfterBreak="0">
    <w:nsid w:val="292B0DDE"/>
    <w:multiLevelType w:val="multilevel"/>
    <w:tmpl w:val="69B27044"/>
    <w:styleLink w:val="WWNum1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1" w15:restartNumberingAfterBreak="0">
    <w:nsid w:val="292B1546"/>
    <w:multiLevelType w:val="multilevel"/>
    <w:tmpl w:val="C5C00228"/>
    <w:styleLink w:val="WWNum2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2" w15:restartNumberingAfterBreak="0">
    <w:nsid w:val="2931062D"/>
    <w:multiLevelType w:val="multilevel"/>
    <w:tmpl w:val="447EE4EA"/>
    <w:styleLink w:val="WWNum2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3" w15:restartNumberingAfterBreak="0">
    <w:nsid w:val="29611B11"/>
    <w:multiLevelType w:val="multilevel"/>
    <w:tmpl w:val="49466A04"/>
    <w:styleLink w:val="WWNum211"/>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24" w15:restartNumberingAfterBreak="0">
    <w:nsid w:val="2A24514D"/>
    <w:multiLevelType w:val="multilevel"/>
    <w:tmpl w:val="6CC67AEE"/>
    <w:styleLink w:val="WWNum15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5" w15:restartNumberingAfterBreak="0">
    <w:nsid w:val="2AEF6073"/>
    <w:multiLevelType w:val="multilevel"/>
    <w:tmpl w:val="B78281E0"/>
    <w:styleLink w:val="WWNum33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6" w15:restartNumberingAfterBreak="0">
    <w:nsid w:val="2B2016F4"/>
    <w:multiLevelType w:val="multilevel"/>
    <w:tmpl w:val="62F25BC6"/>
    <w:styleLink w:val="WWNum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7" w15:restartNumberingAfterBreak="0">
    <w:nsid w:val="2B4247F5"/>
    <w:multiLevelType w:val="multilevel"/>
    <w:tmpl w:val="AC8289D0"/>
    <w:styleLink w:val="WWNum2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8" w15:restartNumberingAfterBreak="0">
    <w:nsid w:val="2B715C29"/>
    <w:multiLevelType w:val="multilevel"/>
    <w:tmpl w:val="C87E1D78"/>
    <w:styleLink w:val="WWNum1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9" w15:restartNumberingAfterBreak="0">
    <w:nsid w:val="2CAE53F4"/>
    <w:multiLevelType w:val="multilevel"/>
    <w:tmpl w:val="DAB03A66"/>
    <w:styleLink w:val="WWNum24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0" w15:restartNumberingAfterBreak="0">
    <w:nsid w:val="2DF6034D"/>
    <w:multiLevelType w:val="multilevel"/>
    <w:tmpl w:val="B0FE9F98"/>
    <w:styleLink w:val="WWNum2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1" w15:restartNumberingAfterBreak="0">
    <w:nsid w:val="2F33644B"/>
    <w:multiLevelType w:val="multilevel"/>
    <w:tmpl w:val="BD2CCA6E"/>
    <w:styleLink w:val="WWNum1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2" w15:restartNumberingAfterBreak="0">
    <w:nsid w:val="2F4532C1"/>
    <w:multiLevelType w:val="multilevel"/>
    <w:tmpl w:val="BEEE27E2"/>
    <w:styleLink w:val="WWNum2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3" w15:restartNumberingAfterBreak="0">
    <w:nsid w:val="2FD41CA3"/>
    <w:multiLevelType w:val="multilevel"/>
    <w:tmpl w:val="7F78A59A"/>
    <w:styleLink w:val="WWNum272"/>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34" w15:restartNumberingAfterBreak="0">
    <w:nsid w:val="301B2F3A"/>
    <w:multiLevelType w:val="multilevel"/>
    <w:tmpl w:val="1C7C12B0"/>
    <w:styleLink w:val="WWNum1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5" w15:restartNumberingAfterBreak="0">
    <w:nsid w:val="3063146F"/>
    <w:multiLevelType w:val="multilevel"/>
    <w:tmpl w:val="4D5414EC"/>
    <w:styleLink w:val="WWNum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6" w15:restartNumberingAfterBreak="0">
    <w:nsid w:val="307244B8"/>
    <w:multiLevelType w:val="multilevel"/>
    <w:tmpl w:val="08C0EB70"/>
    <w:styleLink w:val="WWNum14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37" w15:restartNumberingAfterBreak="0">
    <w:nsid w:val="309039F9"/>
    <w:multiLevelType w:val="multilevel"/>
    <w:tmpl w:val="90E4F10C"/>
    <w:styleLink w:val="WWNum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8" w15:restartNumberingAfterBreak="0">
    <w:nsid w:val="30AB51D7"/>
    <w:multiLevelType w:val="multilevel"/>
    <w:tmpl w:val="C4D00E0C"/>
    <w:styleLink w:val="WWNum207"/>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39" w15:restartNumberingAfterBreak="0">
    <w:nsid w:val="30AB561B"/>
    <w:multiLevelType w:val="multilevel"/>
    <w:tmpl w:val="289AF3B6"/>
    <w:styleLink w:val="WWNum20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40" w15:restartNumberingAfterBreak="0">
    <w:nsid w:val="30B433D2"/>
    <w:multiLevelType w:val="multilevel"/>
    <w:tmpl w:val="659C7AC8"/>
    <w:styleLink w:val="WWNum20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41" w15:restartNumberingAfterBreak="0">
    <w:nsid w:val="30DB70A5"/>
    <w:multiLevelType w:val="multilevel"/>
    <w:tmpl w:val="8D0C813C"/>
    <w:styleLink w:val="WWNum68"/>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42" w15:restartNumberingAfterBreak="0">
    <w:nsid w:val="31530C22"/>
    <w:multiLevelType w:val="multilevel"/>
    <w:tmpl w:val="6212CCE4"/>
    <w:styleLink w:val="WWNum2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3" w15:restartNumberingAfterBreak="0">
    <w:nsid w:val="324A0B74"/>
    <w:multiLevelType w:val="multilevel"/>
    <w:tmpl w:val="1298C3EE"/>
    <w:styleLink w:val="WWNum3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4" w15:restartNumberingAfterBreak="0">
    <w:nsid w:val="32B04E9A"/>
    <w:multiLevelType w:val="multilevel"/>
    <w:tmpl w:val="76644202"/>
    <w:styleLink w:val="WWNum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5" w15:restartNumberingAfterBreak="0">
    <w:nsid w:val="32EE0B76"/>
    <w:multiLevelType w:val="multilevel"/>
    <w:tmpl w:val="C422EAC4"/>
    <w:styleLink w:val="WWNum2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6" w15:restartNumberingAfterBreak="0">
    <w:nsid w:val="338942AE"/>
    <w:multiLevelType w:val="multilevel"/>
    <w:tmpl w:val="9C166BC2"/>
    <w:styleLink w:val="WWNum24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7" w15:restartNumberingAfterBreak="0">
    <w:nsid w:val="33962C73"/>
    <w:multiLevelType w:val="multilevel"/>
    <w:tmpl w:val="D86667CE"/>
    <w:styleLink w:val="WWNum1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8" w15:restartNumberingAfterBreak="0">
    <w:nsid w:val="33DF20B7"/>
    <w:multiLevelType w:val="multilevel"/>
    <w:tmpl w:val="897E41D4"/>
    <w:styleLink w:val="WWNum2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9" w15:restartNumberingAfterBreak="0">
    <w:nsid w:val="357C1B5C"/>
    <w:multiLevelType w:val="multilevel"/>
    <w:tmpl w:val="90B2897A"/>
    <w:styleLink w:val="WWNum2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0" w15:restartNumberingAfterBreak="0">
    <w:nsid w:val="358A26D7"/>
    <w:multiLevelType w:val="multilevel"/>
    <w:tmpl w:val="9728738E"/>
    <w:styleLink w:val="WWNum2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1" w15:restartNumberingAfterBreak="0">
    <w:nsid w:val="358B5935"/>
    <w:multiLevelType w:val="multilevel"/>
    <w:tmpl w:val="071E44B6"/>
    <w:styleLink w:val="WWNum25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2" w15:restartNumberingAfterBreak="0">
    <w:nsid w:val="35A0004D"/>
    <w:multiLevelType w:val="multilevel"/>
    <w:tmpl w:val="5218C2E2"/>
    <w:styleLink w:val="WWNum7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3" w15:restartNumberingAfterBreak="0">
    <w:nsid w:val="35FA0651"/>
    <w:multiLevelType w:val="multilevel"/>
    <w:tmpl w:val="E5406FBA"/>
    <w:styleLink w:val="WWNum1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4" w15:restartNumberingAfterBreak="0">
    <w:nsid w:val="36AC113E"/>
    <w:multiLevelType w:val="multilevel"/>
    <w:tmpl w:val="52A02C52"/>
    <w:styleLink w:val="WWNum2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5" w15:restartNumberingAfterBreak="0">
    <w:nsid w:val="378226C3"/>
    <w:multiLevelType w:val="multilevel"/>
    <w:tmpl w:val="8DFCA35E"/>
    <w:styleLink w:val="WWNum2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6" w15:restartNumberingAfterBreak="0">
    <w:nsid w:val="379334EE"/>
    <w:multiLevelType w:val="multilevel"/>
    <w:tmpl w:val="BCFA6BCC"/>
    <w:styleLink w:val="WWNum30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7" w15:restartNumberingAfterBreak="0">
    <w:nsid w:val="37B0197F"/>
    <w:multiLevelType w:val="multilevel"/>
    <w:tmpl w:val="B5DC4580"/>
    <w:styleLink w:val="WWNum5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58" w15:restartNumberingAfterBreak="0">
    <w:nsid w:val="37F32976"/>
    <w:multiLevelType w:val="multilevel"/>
    <w:tmpl w:val="BCA47040"/>
    <w:styleLink w:val="WWNum1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9" w15:restartNumberingAfterBreak="0">
    <w:nsid w:val="38BD61A0"/>
    <w:multiLevelType w:val="multilevel"/>
    <w:tmpl w:val="1BB8C536"/>
    <w:styleLink w:val="WWNum2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0" w15:restartNumberingAfterBreak="0">
    <w:nsid w:val="38BF39A3"/>
    <w:multiLevelType w:val="multilevel"/>
    <w:tmpl w:val="D09A4868"/>
    <w:styleLink w:val="WWNum1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1" w15:restartNumberingAfterBreak="0">
    <w:nsid w:val="396D3DA0"/>
    <w:multiLevelType w:val="multilevel"/>
    <w:tmpl w:val="ABBE2EFA"/>
    <w:styleLink w:val="WWNum1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2" w15:restartNumberingAfterBreak="0">
    <w:nsid w:val="397B6745"/>
    <w:multiLevelType w:val="multilevel"/>
    <w:tmpl w:val="FBDCE1FA"/>
    <w:styleLink w:val="WWNum3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3" w15:restartNumberingAfterBreak="0">
    <w:nsid w:val="39907A8E"/>
    <w:multiLevelType w:val="multilevel"/>
    <w:tmpl w:val="BA34D904"/>
    <w:styleLink w:val="WWNum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4" w15:restartNumberingAfterBreak="0">
    <w:nsid w:val="39F94F46"/>
    <w:multiLevelType w:val="multilevel"/>
    <w:tmpl w:val="CC74FAB4"/>
    <w:styleLink w:val="WWNum18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5" w15:restartNumberingAfterBreak="0">
    <w:nsid w:val="3A16267F"/>
    <w:multiLevelType w:val="multilevel"/>
    <w:tmpl w:val="329CF0D2"/>
    <w:styleLink w:val="WWNum271"/>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66" w15:restartNumberingAfterBreak="0">
    <w:nsid w:val="3A2D148A"/>
    <w:multiLevelType w:val="multilevel"/>
    <w:tmpl w:val="430CA754"/>
    <w:styleLink w:val="WWNum15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67" w15:restartNumberingAfterBreak="0">
    <w:nsid w:val="3A6210E1"/>
    <w:multiLevelType w:val="multilevel"/>
    <w:tmpl w:val="4FF85BD2"/>
    <w:styleLink w:val="WWNum1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8" w15:restartNumberingAfterBreak="0">
    <w:nsid w:val="3AA86F94"/>
    <w:multiLevelType w:val="multilevel"/>
    <w:tmpl w:val="8D3A8C58"/>
    <w:styleLink w:val="WWNum3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9" w15:restartNumberingAfterBreak="0">
    <w:nsid w:val="3AA932FC"/>
    <w:multiLevelType w:val="multilevel"/>
    <w:tmpl w:val="346EEDBA"/>
    <w:styleLink w:val="WWNum268"/>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0" w15:restartNumberingAfterBreak="0">
    <w:nsid w:val="3AD36899"/>
    <w:multiLevelType w:val="multilevel"/>
    <w:tmpl w:val="0480DDD4"/>
    <w:styleLink w:val="WWNum2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1" w15:restartNumberingAfterBreak="0">
    <w:nsid w:val="3B696123"/>
    <w:multiLevelType w:val="multilevel"/>
    <w:tmpl w:val="806403AE"/>
    <w:styleLink w:val="WWNum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72" w15:restartNumberingAfterBreak="0">
    <w:nsid w:val="3C262DD2"/>
    <w:multiLevelType w:val="multilevel"/>
    <w:tmpl w:val="1F068E58"/>
    <w:styleLink w:val="WWNum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3" w15:restartNumberingAfterBreak="0">
    <w:nsid w:val="3CE977CF"/>
    <w:multiLevelType w:val="multilevel"/>
    <w:tmpl w:val="045C7948"/>
    <w:styleLink w:val="WWNum3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4" w15:restartNumberingAfterBreak="0">
    <w:nsid w:val="3D1A4EE5"/>
    <w:multiLevelType w:val="multilevel"/>
    <w:tmpl w:val="E3B66978"/>
    <w:styleLink w:val="WWNum1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5" w15:restartNumberingAfterBreak="0">
    <w:nsid w:val="3D6B7487"/>
    <w:multiLevelType w:val="multilevel"/>
    <w:tmpl w:val="3E2C8A52"/>
    <w:styleLink w:val="WWNum2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6" w15:restartNumberingAfterBreak="0">
    <w:nsid w:val="3DC9059B"/>
    <w:multiLevelType w:val="multilevel"/>
    <w:tmpl w:val="64CECC62"/>
    <w:styleLink w:val="WWNum267"/>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7" w15:restartNumberingAfterBreak="0">
    <w:nsid w:val="3DE954DF"/>
    <w:multiLevelType w:val="multilevel"/>
    <w:tmpl w:val="83723F10"/>
    <w:styleLink w:val="WWNum1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78" w15:restartNumberingAfterBreak="0">
    <w:nsid w:val="3F404829"/>
    <w:multiLevelType w:val="multilevel"/>
    <w:tmpl w:val="28AA4D7A"/>
    <w:styleLink w:val="WWNum10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79" w15:restartNumberingAfterBreak="0">
    <w:nsid w:val="3FDF1F25"/>
    <w:multiLevelType w:val="multilevel"/>
    <w:tmpl w:val="1654D966"/>
    <w:styleLink w:val="WWNum27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0" w15:restartNumberingAfterBreak="0">
    <w:nsid w:val="421150D2"/>
    <w:multiLevelType w:val="multilevel"/>
    <w:tmpl w:val="98EE80F0"/>
    <w:styleLink w:val="WWNum29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1" w15:restartNumberingAfterBreak="0">
    <w:nsid w:val="42C963A1"/>
    <w:multiLevelType w:val="multilevel"/>
    <w:tmpl w:val="A1F000A8"/>
    <w:styleLink w:val="WWNum1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2" w15:restartNumberingAfterBreak="0">
    <w:nsid w:val="432F3560"/>
    <w:multiLevelType w:val="multilevel"/>
    <w:tmpl w:val="B6A6A7AC"/>
    <w:styleLink w:val="WWNum3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3" w15:restartNumberingAfterBreak="0">
    <w:nsid w:val="43972A90"/>
    <w:multiLevelType w:val="multilevel"/>
    <w:tmpl w:val="1AC0A576"/>
    <w:styleLink w:val="WWNum2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4" w15:restartNumberingAfterBreak="0">
    <w:nsid w:val="447D4044"/>
    <w:multiLevelType w:val="multilevel"/>
    <w:tmpl w:val="89B44F5C"/>
    <w:styleLink w:val="WWNum2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5" w15:restartNumberingAfterBreak="0">
    <w:nsid w:val="447F7B38"/>
    <w:multiLevelType w:val="multilevel"/>
    <w:tmpl w:val="AB06801A"/>
    <w:styleLink w:val="WWNum12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6" w15:restartNumberingAfterBreak="0">
    <w:nsid w:val="44AF2E91"/>
    <w:multiLevelType w:val="multilevel"/>
    <w:tmpl w:val="3F96E950"/>
    <w:styleLink w:val="WWNum29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7" w15:restartNumberingAfterBreak="0">
    <w:nsid w:val="45D82A43"/>
    <w:multiLevelType w:val="multilevel"/>
    <w:tmpl w:val="0AA22E90"/>
    <w:styleLink w:val="WWNum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8" w15:restartNumberingAfterBreak="0">
    <w:nsid w:val="462F360E"/>
    <w:multiLevelType w:val="multilevel"/>
    <w:tmpl w:val="D5B28754"/>
    <w:styleLink w:val="WWNum7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9" w15:restartNumberingAfterBreak="0">
    <w:nsid w:val="46643B56"/>
    <w:multiLevelType w:val="multilevel"/>
    <w:tmpl w:val="44D4CFAE"/>
    <w:styleLink w:val="WWNum1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0" w15:restartNumberingAfterBreak="0">
    <w:nsid w:val="46696724"/>
    <w:multiLevelType w:val="multilevel"/>
    <w:tmpl w:val="377CEE86"/>
    <w:styleLink w:val="WWNum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1" w15:restartNumberingAfterBreak="0">
    <w:nsid w:val="466C63A8"/>
    <w:multiLevelType w:val="multilevel"/>
    <w:tmpl w:val="022A51CA"/>
    <w:styleLink w:val="WWNum1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2" w15:restartNumberingAfterBreak="0">
    <w:nsid w:val="470E2155"/>
    <w:multiLevelType w:val="multilevel"/>
    <w:tmpl w:val="D3DACFA6"/>
    <w:styleLink w:val="WWNum30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3" w15:restartNumberingAfterBreak="0">
    <w:nsid w:val="47C750FE"/>
    <w:multiLevelType w:val="multilevel"/>
    <w:tmpl w:val="DC006940"/>
    <w:styleLink w:val="WWNum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4" w15:restartNumberingAfterBreak="0">
    <w:nsid w:val="4831355E"/>
    <w:multiLevelType w:val="multilevel"/>
    <w:tmpl w:val="28F8035A"/>
    <w:styleLink w:val="WWNum2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5" w15:restartNumberingAfterBreak="0">
    <w:nsid w:val="48343FC3"/>
    <w:multiLevelType w:val="multilevel"/>
    <w:tmpl w:val="A0F20C84"/>
    <w:styleLink w:val="WWNum25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6" w15:restartNumberingAfterBreak="0">
    <w:nsid w:val="484C4F6D"/>
    <w:multiLevelType w:val="multilevel"/>
    <w:tmpl w:val="7A1E658C"/>
    <w:styleLink w:val="WWNum1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97" w15:restartNumberingAfterBreak="0">
    <w:nsid w:val="48506714"/>
    <w:multiLevelType w:val="multilevel"/>
    <w:tmpl w:val="53FA0686"/>
    <w:styleLink w:val="WWNum269"/>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98" w15:restartNumberingAfterBreak="0">
    <w:nsid w:val="4861732F"/>
    <w:multiLevelType w:val="multilevel"/>
    <w:tmpl w:val="6B3AFF06"/>
    <w:styleLink w:val="WWNum2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9" w15:restartNumberingAfterBreak="0">
    <w:nsid w:val="488D14D0"/>
    <w:multiLevelType w:val="multilevel"/>
    <w:tmpl w:val="25B4ABF2"/>
    <w:styleLink w:val="WWNum109"/>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00" w15:restartNumberingAfterBreak="0">
    <w:nsid w:val="48F22E76"/>
    <w:multiLevelType w:val="multilevel"/>
    <w:tmpl w:val="2496D792"/>
    <w:styleLink w:val="WWNum26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01" w15:restartNumberingAfterBreak="0">
    <w:nsid w:val="492D0E09"/>
    <w:multiLevelType w:val="multilevel"/>
    <w:tmpl w:val="6818D7D6"/>
    <w:styleLink w:val="WWNum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2" w15:restartNumberingAfterBreak="0">
    <w:nsid w:val="49561A54"/>
    <w:multiLevelType w:val="multilevel"/>
    <w:tmpl w:val="98EC1E94"/>
    <w:styleLink w:val="WWNum2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3" w15:restartNumberingAfterBreak="0">
    <w:nsid w:val="4A264B2C"/>
    <w:multiLevelType w:val="multilevel"/>
    <w:tmpl w:val="2EE21BE4"/>
    <w:styleLink w:val="WWNum20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4" w15:restartNumberingAfterBreak="0">
    <w:nsid w:val="4A962EE7"/>
    <w:multiLevelType w:val="multilevel"/>
    <w:tmpl w:val="43D0CD06"/>
    <w:styleLink w:val="WWNum22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5" w15:restartNumberingAfterBreak="0">
    <w:nsid w:val="4B3272DF"/>
    <w:multiLevelType w:val="multilevel"/>
    <w:tmpl w:val="4AF28D54"/>
    <w:styleLink w:val="WWNum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6" w15:restartNumberingAfterBreak="0">
    <w:nsid w:val="4B3C7338"/>
    <w:multiLevelType w:val="multilevel"/>
    <w:tmpl w:val="D26CF23E"/>
    <w:styleLink w:val="WWNum158"/>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07" w15:restartNumberingAfterBreak="0">
    <w:nsid w:val="4C406A14"/>
    <w:multiLevelType w:val="multilevel"/>
    <w:tmpl w:val="864C7C7E"/>
    <w:styleLink w:val="WWNum6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08" w15:restartNumberingAfterBreak="0">
    <w:nsid w:val="4E1B2173"/>
    <w:multiLevelType w:val="multilevel"/>
    <w:tmpl w:val="D26E6F52"/>
    <w:styleLink w:val="WWNum32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09" w15:restartNumberingAfterBreak="0">
    <w:nsid w:val="4E6B14F8"/>
    <w:multiLevelType w:val="multilevel"/>
    <w:tmpl w:val="63984A08"/>
    <w:styleLink w:val="WWNum2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0" w15:restartNumberingAfterBreak="0">
    <w:nsid w:val="4E7E7447"/>
    <w:multiLevelType w:val="multilevel"/>
    <w:tmpl w:val="48C41C74"/>
    <w:styleLink w:val="WWNum1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1" w15:restartNumberingAfterBreak="0">
    <w:nsid w:val="4EB12935"/>
    <w:multiLevelType w:val="multilevel"/>
    <w:tmpl w:val="2328147E"/>
    <w:styleLink w:val="WWNum11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2" w15:restartNumberingAfterBreak="0">
    <w:nsid w:val="4F327054"/>
    <w:multiLevelType w:val="multilevel"/>
    <w:tmpl w:val="0EDE9712"/>
    <w:styleLink w:val="WWNum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3" w15:restartNumberingAfterBreak="0">
    <w:nsid w:val="4FA36EDA"/>
    <w:multiLevelType w:val="multilevel"/>
    <w:tmpl w:val="D87A4006"/>
    <w:styleLink w:val="WWNum28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4" w15:restartNumberingAfterBreak="0">
    <w:nsid w:val="502F5020"/>
    <w:multiLevelType w:val="multilevel"/>
    <w:tmpl w:val="4684AFBA"/>
    <w:styleLink w:val="WWNum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5" w15:restartNumberingAfterBreak="0">
    <w:nsid w:val="50644023"/>
    <w:multiLevelType w:val="multilevel"/>
    <w:tmpl w:val="75688826"/>
    <w:styleLink w:val="WWNum10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16" w15:restartNumberingAfterBreak="0">
    <w:nsid w:val="50AE613C"/>
    <w:multiLevelType w:val="multilevel"/>
    <w:tmpl w:val="2AE852A2"/>
    <w:styleLink w:val="WWNum30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7" w15:restartNumberingAfterBreak="0">
    <w:nsid w:val="52AD7779"/>
    <w:multiLevelType w:val="multilevel"/>
    <w:tmpl w:val="3A809A24"/>
    <w:styleLink w:val="WWNum3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8" w15:restartNumberingAfterBreak="0">
    <w:nsid w:val="52BE0C40"/>
    <w:multiLevelType w:val="multilevel"/>
    <w:tmpl w:val="594642A2"/>
    <w:styleLink w:val="WWNum26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19" w15:restartNumberingAfterBreak="0">
    <w:nsid w:val="53256D8A"/>
    <w:multiLevelType w:val="multilevel"/>
    <w:tmpl w:val="1D42C37E"/>
    <w:styleLink w:val="WWNum2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0" w15:restartNumberingAfterBreak="0">
    <w:nsid w:val="53B16DD1"/>
    <w:multiLevelType w:val="multilevel"/>
    <w:tmpl w:val="7B6A2462"/>
    <w:styleLink w:val="WWNum3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1" w15:restartNumberingAfterBreak="0">
    <w:nsid w:val="546F7F4A"/>
    <w:multiLevelType w:val="multilevel"/>
    <w:tmpl w:val="212290D0"/>
    <w:styleLink w:val="WWNum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2" w15:restartNumberingAfterBreak="0">
    <w:nsid w:val="547B3E62"/>
    <w:multiLevelType w:val="multilevel"/>
    <w:tmpl w:val="D376FA58"/>
    <w:styleLink w:val="WWNum10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23" w15:restartNumberingAfterBreak="0">
    <w:nsid w:val="54A9104C"/>
    <w:multiLevelType w:val="multilevel"/>
    <w:tmpl w:val="AEF685AC"/>
    <w:styleLink w:val="WWNum29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24" w15:restartNumberingAfterBreak="0">
    <w:nsid w:val="55032159"/>
    <w:multiLevelType w:val="multilevel"/>
    <w:tmpl w:val="2A50B0A8"/>
    <w:styleLink w:val="WWNum2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5" w15:restartNumberingAfterBreak="0">
    <w:nsid w:val="55723EB3"/>
    <w:multiLevelType w:val="multilevel"/>
    <w:tmpl w:val="1628702E"/>
    <w:styleLink w:val="WWNum1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6" w15:restartNumberingAfterBreak="0">
    <w:nsid w:val="56A823FA"/>
    <w:multiLevelType w:val="multilevel"/>
    <w:tmpl w:val="C9F8D042"/>
    <w:styleLink w:val="WWNum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27" w15:restartNumberingAfterBreak="0">
    <w:nsid w:val="56C75051"/>
    <w:multiLevelType w:val="multilevel"/>
    <w:tmpl w:val="CD2A75B0"/>
    <w:styleLink w:val="WWNum2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8" w15:restartNumberingAfterBreak="0">
    <w:nsid w:val="56F711D1"/>
    <w:multiLevelType w:val="multilevel"/>
    <w:tmpl w:val="479EC7F8"/>
    <w:styleLink w:val="WWNum2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9" w15:restartNumberingAfterBreak="0">
    <w:nsid w:val="57860176"/>
    <w:multiLevelType w:val="multilevel"/>
    <w:tmpl w:val="92C64D34"/>
    <w:styleLink w:val="WWNum1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0" w15:restartNumberingAfterBreak="0">
    <w:nsid w:val="57A644C3"/>
    <w:multiLevelType w:val="multilevel"/>
    <w:tmpl w:val="74AA0EDC"/>
    <w:styleLink w:val="WWNum20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1" w15:restartNumberingAfterBreak="0">
    <w:nsid w:val="57C03992"/>
    <w:multiLevelType w:val="multilevel"/>
    <w:tmpl w:val="9522D362"/>
    <w:styleLink w:val="WWNum153"/>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2" w15:restartNumberingAfterBreak="0">
    <w:nsid w:val="5841076D"/>
    <w:multiLevelType w:val="multilevel"/>
    <w:tmpl w:val="FF7E2088"/>
    <w:styleLink w:val="WWNum1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3" w15:restartNumberingAfterBreak="0">
    <w:nsid w:val="59571731"/>
    <w:multiLevelType w:val="multilevel"/>
    <w:tmpl w:val="C5969B5A"/>
    <w:styleLink w:val="WWNum5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4" w15:restartNumberingAfterBreak="0">
    <w:nsid w:val="5A413B40"/>
    <w:multiLevelType w:val="multilevel"/>
    <w:tmpl w:val="7A2447FC"/>
    <w:styleLink w:val="WWNum1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5" w15:restartNumberingAfterBreak="0">
    <w:nsid w:val="5A4731FB"/>
    <w:multiLevelType w:val="multilevel"/>
    <w:tmpl w:val="5BC06F88"/>
    <w:styleLink w:val="WWNum10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6" w15:restartNumberingAfterBreak="0">
    <w:nsid w:val="5A571130"/>
    <w:multiLevelType w:val="multilevel"/>
    <w:tmpl w:val="105883CE"/>
    <w:styleLink w:val="WWNum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37" w15:restartNumberingAfterBreak="0">
    <w:nsid w:val="5B18021D"/>
    <w:multiLevelType w:val="multilevel"/>
    <w:tmpl w:val="6E8EBB8C"/>
    <w:styleLink w:val="WWNum2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8" w15:restartNumberingAfterBreak="0">
    <w:nsid w:val="5B3D6CD8"/>
    <w:multiLevelType w:val="multilevel"/>
    <w:tmpl w:val="DC6E0BE6"/>
    <w:styleLink w:val="WWNum24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9" w15:restartNumberingAfterBreak="0">
    <w:nsid w:val="5B6323F0"/>
    <w:multiLevelType w:val="multilevel"/>
    <w:tmpl w:val="EAA0C236"/>
    <w:styleLink w:val="WWNum26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0" w15:restartNumberingAfterBreak="0">
    <w:nsid w:val="5C02749C"/>
    <w:multiLevelType w:val="multilevel"/>
    <w:tmpl w:val="BE065DB6"/>
    <w:styleLink w:val="WWNum13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1" w15:restartNumberingAfterBreak="0">
    <w:nsid w:val="5C6C5C84"/>
    <w:multiLevelType w:val="multilevel"/>
    <w:tmpl w:val="0C78CBF8"/>
    <w:styleLink w:val="WWNum2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2" w15:restartNumberingAfterBreak="0">
    <w:nsid w:val="5CED3133"/>
    <w:multiLevelType w:val="multilevel"/>
    <w:tmpl w:val="3F1ED852"/>
    <w:styleLink w:val="WWNum2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3" w15:restartNumberingAfterBreak="0">
    <w:nsid w:val="5CFD13FC"/>
    <w:multiLevelType w:val="multilevel"/>
    <w:tmpl w:val="C3C6312C"/>
    <w:styleLink w:val="WWNum1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4" w15:restartNumberingAfterBreak="0">
    <w:nsid w:val="5D820579"/>
    <w:multiLevelType w:val="multilevel"/>
    <w:tmpl w:val="291EA656"/>
    <w:styleLink w:val="WWNum5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5" w15:restartNumberingAfterBreak="0">
    <w:nsid w:val="5DE25F57"/>
    <w:multiLevelType w:val="multilevel"/>
    <w:tmpl w:val="A3F0DCE4"/>
    <w:styleLink w:val="WWNum12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6" w15:restartNumberingAfterBreak="0">
    <w:nsid w:val="5DEA2004"/>
    <w:multiLevelType w:val="multilevel"/>
    <w:tmpl w:val="EB6042BA"/>
    <w:styleLink w:val="WWNum10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7" w15:restartNumberingAfterBreak="0">
    <w:nsid w:val="5E426662"/>
    <w:multiLevelType w:val="multilevel"/>
    <w:tmpl w:val="F7D09B2A"/>
    <w:styleLink w:val="WWNum2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8" w15:restartNumberingAfterBreak="0">
    <w:nsid w:val="5F2C5995"/>
    <w:multiLevelType w:val="multilevel"/>
    <w:tmpl w:val="DFDA5478"/>
    <w:styleLink w:val="WWNum18"/>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49" w15:restartNumberingAfterBreak="0">
    <w:nsid w:val="5F806C48"/>
    <w:multiLevelType w:val="multilevel"/>
    <w:tmpl w:val="8F6A44D0"/>
    <w:styleLink w:val="WWNum3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0" w15:restartNumberingAfterBreak="0">
    <w:nsid w:val="607B2475"/>
    <w:multiLevelType w:val="multilevel"/>
    <w:tmpl w:val="D0165892"/>
    <w:styleLink w:val="WWNum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1" w15:restartNumberingAfterBreak="0">
    <w:nsid w:val="608B0F60"/>
    <w:multiLevelType w:val="multilevel"/>
    <w:tmpl w:val="F9C22232"/>
    <w:styleLink w:val="WWNum31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2" w15:restartNumberingAfterBreak="0">
    <w:nsid w:val="60F314F5"/>
    <w:multiLevelType w:val="multilevel"/>
    <w:tmpl w:val="49106F98"/>
    <w:styleLink w:val="WWNum23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3" w15:restartNumberingAfterBreak="0">
    <w:nsid w:val="610A7BD3"/>
    <w:multiLevelType w:val="multilevel"/>
    <w:tmpl w:val="4A22832A"/>
    <w:styleLink w:val="WWNum270"/>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54" w15:restartNumberingAfterBreak="0">
    <w:nsid w:val="61792E8B"/>
    <w:multiLevelType w:val="multilevel"/>
    <w:tmpl w:val="89424310"/>
    <w:styleLink w:val="WWNum2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5" w15:restartNumberingAfterBreak="0">
    <w:nsid w:val="62CB5741"/>
    <w:multiLevelType w:val="multilevel"/>
    <w:tmpl w:val="373A35C6"/>
    <w:styleLink w:val="WWNum9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56" w15:restartNumberingAfterBreak="0">
    <w:nsid w:val="62E5289C"/>
    <w:multiLevelType w:val="multilevel"/>
    <w:tmpl w:val="47829852"/>
    <w:styleLink w:val="WWNum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7" w15:restartNumberingAfterBreak="0">
    <w:nsid w:val="632B420C"/>
    <w:multiLevelType w:val="multilevel"/>
    <w:tmpl w:val="2E1AEECA"/>
    <w:styleLink w:val="WWNum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8" w15:restartNumberingAfterBreak="0">
    <w:nsid w:val="636733AE"/>
    <w:multiLevelType w:val="multilevel"/>
    <w:tmpl w:val="D1345FDA"/>
    <w:styleLink w:val="WWNum3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9" w15:restartNumberingAfterBreak="0">
    <w:nsid w:val="63C82947"/>
    <w:multiLevelType w:val="multilevel"/>
    <w:tmpl w:val="9816ED18"/>
    <w:styleLink w:val="WWNum6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0" w15:restartNumberingAfterBreak="0">
    <w:nsid w:val="641D006B"/>
    <w:multiLevelType w:val="multilevel"/>
    <w:tmpl w:val="835A97EA"/>
    <w:styleLink w:val="WWNum20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1" w15:restartNumberingAfterBreak="0">
    <w:nsid w:val="647F3416"/>
    <w:multiLevelType w:val="multilevel"/>
    <w:tmpl w:val="0032EAA4"/>
    <w:styleLink w:val="WWNum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2" w15:restartNumberingAfterBreak="0">
    <w:nsid w:val="648353BC"/>
    <w:multiLevelType w:val="multilevel"/>
    <w:tmpl w:val="558E9DDC"/>
    <w:styleLink w:val="WWNum18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3" w15:restartNumberingAfterBreak="0">
    <w:nsid w:val="64BD6945"/>
    <w:multiLevelType w:val="multilevel"/>
    <w:tmpl w:val="86E8057A"/>
    <w:styleLink w:val="WWNum2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4" w15:restartNumberingAfterBreak="0">
    <w:nsid w:val="64FC6799"/>
    <w:multiLevelType w:val="multilevel"/>
    <w:tmpl w:val="55EE09FA"/>
    <w:styleLink w:val="WWNum209"/>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65" w15:restartNumberingAfterBreak="0">
    <w:nsid w:val="658A3DA6"/>
    <w:multiLevelType w:val="multilevel"/>
    <w:tmpl w:val="A0DE0B1C"/>
    <w:styleLink w:val="WWNum2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6" w15:restartNumberingAfterBreak="0">
    <w:nsid w:val="65AF44F7"/>
    <w:multiLevelType w:val="multilevel"/>
    <w:tmpl w:val="EE5CD26E"/>
    <w:styleLink w:val="WWNum19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7" w15:restartNumberingAfterBreak="0">
    <w:nsid w:val="65F95708"/>
    <w:multiLevelType w:val="multilevel"/>
    <w:tmpl w:val="3E687348"/>
    <w:styleLink w:val="WWNum21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8" w15:restartNumberingAfterBreak="0">
    <w:nsid w:val="66B86C70"/>
    <w:multiLevelType w:val="multilevel"/>
    <w:tmpl w:val="895AEB6A"/>
    <w:styleLink w:val="WWNum14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69" w15:restartNumberingAfterBreak="0">
    <w:nsid w:val="66D1323D"/>
    <w:multiLevelType w:val="multilevel"/>
    <w:tmpl w:val="175A2CFA"/>
    <w:styleLink w:val="WWNum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0" w15:restartNumberingAfterBreak="0">
    <w:nsid w:val="66FB7F03"/>
    <w:multiLevelType w:val="multilevel"/>
    <w:tmpl w:val="DE3AE224"/>
    <w:styleLink w:val="WWNum3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1" w15:restartNumberingAfterBreak="0">
    <w:nsid w:val="66FC2C7A"/>
    <w:multiLevelType w:val="multilevel"/>
    <w:tmpl w:val="1BBC7044"/>
    <w:styleLink w:val="WWNum150"/>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2" w15:restartNumberingAfterBreak="0">
    <w:nsid w:val="677D0219"/>
    <w:multiLevelType w:val="multilevel"/>
    <w:tmpl w:val="53DEC53A"/>
    <w:styleLink w:val="WWNum59"/>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73" w15:restartNumberingAfterBreak="0">
    <w:nsid w:val="67A036D9"/>
    <w:multiLevelType w:val="multilevel"/>
    <w:tmpl w:val="9EFA4F8C"/>
    <w:styleLink w:val="WWNum15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4" w15:restartNumberingAfterBreak="0">
    <w:nsid w:val="67D64D58"/>
    <w:multiLevelType w:val="multilevel"/>
    <w:tmpl w:val="D51C4C66"/>
    <w:styleLink w:val="WWNum2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5" w15:restartNumberingAfterBreak="0">
    <w:nsid w:val="67E168B7"/>
    <w:multiLevelType w:val="multilevel"/>
    <w:tmpl w:val="0082E7A8"/>
    <w:styleLink w:val="WWNum2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76" w15:restartNumberingAfterBreak="0">
    <w:nsid w:val="688A4593"/>
    <w:multiLevelType w:val="multilevel"/>
    <w:tmpl w:val="95C2DD62"/>
    <w:styleLink w:val="WWNum1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7" w15:restartNumberingAfterBreak="0">
    <w:nsid w:val="68BE0C70"/>
    <w:multiLevelType w:val="multilevel"/>
    <w:tmpl w:val="98A80E14"/>
    <w:styleLink w:val="WWNum2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8" w15:restartNumberingAfterBreak="0">
    <w:nsid w:val="68CA56CD"/>
    <w:multiLevelType w:val="multilevel"/>
    <w:tmpl w:val="7004A174"/>
    <w:styleLink w:val="WWNum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9" w15:restartNumberingAfterBreak="0">
    <w:nsid w:val="695229A5"/>
    <w:multiLevelType w:val="multilevel"/>
    <w:tmpl w:val="A418ADBE"/>
    <w:styleLink w:val="WWNum1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0" w15:restartNumberingAfterBreak="0">
    <w:nsid w:val="69B80633"/>
    <w:multiLevelType w:val="multilevel"/>
    <w:tmpl w:val="19763C3C"/>
    <w:styleLink w:val="WWNum19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1" w15:restartNumberingAfterBreak="0">
    <w:nsid w:val="69D67379"/>
    <w:multiLevelType w:val="multilevel"/>
    <w:tmpl w:val="7F6CD696"/>
    <w:styleLink w:val="WWNum1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2" w15:restartNumberingAfterBreak="0">
    <w:nsid w:val="69FD6895"/>
    <w:multiLevelType w:val="multilevel"/>
    <w:tmpl w:val="E5905B56"/>
    <w:styleLink w:val="WWNum331"/>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3" w15:restartNumberingAfterBreak="0">
    <w:nsid w:val="6A0C150D"/>
    <w:multiLevelType w:val="multilevel"/>
    <w:tmpl w:val="70B07E9E"/>
    <w:styleLink w:val="WWNum14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4" w15:restartNumberingAfterBreak="0">
    <w:nsid w:val="6C9E3BF0"/>
    <w:multiLevelType w:val="multilevel"/>
    <w:tmpl w:val="6F347C94"/>
    <w:styleLink w:val="WWNum1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5" w15:restartNumberingAfterBreak="0">
    <w:nsid w:val="6D9A7372"/>
    <w:multiLevelType w:val="multilevel"/>
    <w:tmpl w:val="67A6E35A"/>
    <w:styleLink w:val="WWNum2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6" w15:restartNumberingAfterBreak="0">
    <w:nsid w:val="6E686127"/>
    <w:multiLevelType w:val="multilevel"/>
    <w:tmpl w:val="CCC069AA"/>
    <w:styleLink w:val="WWNum11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7" w15:restartNumberingAfterBreak="0">
    <w:nsid w:val="6E8C3244"/>
    <w:multiLevelType w:val="multilevel"/>
    <w:tmpl w:val="31804DA0"/>
    <w:styleLink w:val="WWNum24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8" w15:restartNumberingAfterBreak="0">
    <w:nsid w:val="6E90590D"/>
    <w:multiLevelType w:val="multilevel"/>
    <w:tmpl w:val="26B674F8"/>
    <w:styleLink w:val="WWNum15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89" w15:restartNumberingAfterBreak="0">
    <w:nsid w:val="6F7D6762"/>
    <w:multiLevelType w:val="multilevel"/>
    <w:tmpl w:val="E5BAC3D2"/>
    <w:styleLink w:val="WWNum12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0" w15:restartNumberingAfterBreak="0">
    <w:nsid w:val="6FE85A8C"/>
    <w:multiLevelType w:val="multilevel"/>
    <w:tmpl w:val="CC78ADC2"/>
    <w:styleLink w:val="WWNum6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91" w15:restartNumberingAfterBreak="0">
    <w:nsid w:val="70054CFD"/>
    <w:multiLevelType w:val="multilevel"/>
    <w:tmpl w:val="85744CB4"/>
    <w:styleLink w:val="WWNum18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2" w15:restartNumberingAfterBreak="0">
    <w:nsid w:val="701B15C1"/>
    <w:multiLevelType w:val="multilevel"/>
    <w:tmpl w:val="9BCAFD7E"/>
    <w:styleLink w:val="WWNum32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3" w15:restartNumberingAfterBreak="0">
    <w:nsid w:val="70595A04"/>
    <w:multiLevelType w:val="multilevel"/>
    <w:tmpl w:val="4C886E24"/>
    <w:styleLink w:val="WWNum145"/>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94" w15:restartNumberingAfterBreak="0">
    <w:nsid w:val="70763BF6"/>
    <w:multiLevelType w:val="multilevel"/>
    <w:tmpl w:val="32A43DB8"/>
    <w:styleLink w:val="WWNum17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5" w15:restartNumberingAfterBreak="0">
    <w:nsid w:val="70B466C8"/>
    <w:multiLevelType w:val="multilevel"/>
    <w:tmpl w:val="BF747F70"/>
    <w:styleLink w:val="WWNum5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296" w15:restartNumberingAfterBreak="0">
    <w:nsid w:val="70C20B6C"/>
    <w:multiLevelType w:val="multilevel"/>
    <w:tmpl w:val="9B1AAA06"/>
    <w:styleLink w:val="WWNum1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7" w15:restartNumberingAfterBreak="0">
    <w:nsid w:val="71227F0A"/>
    <w:multiLevelType w:val="multilevel"/>
    <w:tmpl w:val="EEA820D8"/>
    <w:styleLink w:val="WWNum5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8" w15:restartNumberingAfterBreak="0">
    <w:nsid w:val="71564393"/>
    <w:multiLevelType w:val="multilevel"/>
    <w:tmpl w:val="44D29C52"/>
    <w:styleLink w:val="WWNum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9" w15:restartNumberingAfterBreak="0">
    <w:nsid w:val="7184135B"/>
    <w:multiLevelType w:val="multilevel"/>
    <w:tmpl w:val="6FB4D024"/>
    <w:styleLink w:val="WWNum30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0" w15:restartNumberingAfterBreak="0">
    <w:nsid w:val="71F334C2"/>
    <w:multiLevelType w:val="multilevel"/>
    <w:tmpl w:val="6BC4CED2"/>
    <w:styleLink w:val="WWNum64"/>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01" w15:restartNumberingAfterBreak="0">
    <w:nsid w:val="725B5918"/>
    <w:multiLevelType w:val="multilevel"/>
    <w:tmpl w:val="802A32B6"/>
    <w:styleLink w:val="WWNum96"/>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02" w15:restartNumberingAfterBreak="0">
    <w:nsid w:val="725B5F92"/>
    <w:multiLevelType w:val="multilevel"/>
    <w:tmpl w:val="72E68574"/>
    <w:styleLink w:val="WWNum34"/>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03" w15:restartNumberingAfterBreak="0">
    <w:nsid w:val="72810FED"/>
    <w:multiLevelType w:val="multilevel"/>
    <w:tmpl w:val="3BDEFC96"/>
    <w:styleLink w:val="WWNum19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4" w15:restartNumberingAfterBreak="0">
    <w:nsid w:val="72BB305E"/>
    <w:multiLevelType w:val="multilevel"/>
    <w:tmpl w:val="76A88720"/>
    <w:styleLink w:val="WWNum16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5" w15:restartNumberingAfterBreak="0">
    <w:nsid w:val="732C2D1B"/>
    <w:multiLevelType w:val="multilevel"/>
    <w:tmpl w:val="66A08BB8"/>
    <w:styleLink w:val="WWNum1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6" w15:restartNumberingAfterBreak="0">
    <w:nsid w:val="73A13D5E"/>
    <w:multiLevelType w:val="multilevel"/>
    <w:tmpl w:val="1D1E8C16"/>
    <w:styleLink w:val="WWNum30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7" w15:restartNumberingAfterBreak="0">
    <w:nsid w:val="73AA0D3F"/>
    <w:multiLevelType w:val="multilevel"/>
    <w:tmpl w:val="D9AC1DFE"/>
    <w:styleLink w:val="WWNum3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8" w15:restartNumberingAfterBreak="0">
    <w:nsid w:val="74246D36"/>
    <w:multiLevelType w:val="multilevel"/>
    <w:tmpl w:val="22068748"/>
    <w:styleLink w:val="WWNum16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9" w15:restartNumberingAfterBreak="0">
    <w:nsid w:val="743610F9"/>
    <w:multiLevelType w:val="multilevel"/>
    <w:tmpl w:val="CC404872"/>
    <w:styleLink w:val="WWNum1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0" w15:restartNumberingAfterBreak="0">
    <w:nsid w:val="74483F13"/>
    <w:multiLevelType w:val="multilevel"/>
    <w:tmpl w:val="03CC0BBA"/>
    <w:styleLink w:val="WWNum1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1" w15:restartNumberingAfterBreak="0">
    <w:nsid w:val="74DE45B6"/>
    <w:multiLevelType w:val="multilevel"/>
    <w:tmpl w:val="0F6AAC20"/>
    <w:styleLink w:val="WWNum2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2" w15:restartNumberingAfterBreak="0">
    <w:nsid w:val="75D07DF7"/>
    <w:multiLevelType w:val="multilevel"/>
    <w:tmpl w:val="9E14DE5A"/>
    <w:styleLink w:val="WWNum262"/>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13" w15:restartNumberingAfterBreak="0">
    <w:nsid w:val="760D1EF0"/>
    <w:multiLevelType w:val="multilevel"/>
    <w:tmpl w:val="39D88CC6"/>
    <w:styleLink w:val="WWNum233"/>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4" w15:restartNumberingAfterBreak="0">
    <w:nsid w:val="76642D49"/>
    <w:multiLevelType w:val="multilevel"/>
    <w:tmpl w:val="1D22265E"/>
    <w:styleLink w:val="WWNum13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5" w15:restartNumberingAfterBreak="0">
    <w:nsid w:val="76B14388"/>
    <w:multiLevelType w:val="multilevel"/>
    <w:tmpl w:val="002297FC"/>
    <w:styleLink w:val="WWNum16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6" w15:restartNumberingAfterBreak="0">
    <w:nsid w:val="772A4C27"/>
    <w:multiLevelType w:val="multilevel"/>
    <w:tmpl w:val="7F7E7196"/>
    <w:styleLink w:val="WWNum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7" w15:restartNumberingAfterBreak="0">
    <w:nsid w:val="77D454C7"/>
    <w:multiLevelType w:val="multilevel"/>
    <w:tmpl w:val="2C867E36"/>
    <w:styleLink w:val="WWNum19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8" w15:restartNumberingAfterBreak="0">
    <w:nsid w:val="78495C0E"/>
    <w:multiLevelType w:val="multilevel"/>
    <w:tmpl w:val="7DE686A4"/>
    <w:styleLink w:val="WWNum16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19" w15:restartNumberingAfterBreak="0">
    <w:nsid w:val="78BC0D4C"/>
    <w:multiLevelType w:val="multilevel"/>
    <w:tmpl w:val="C3AE602E"/>
    <w:styleLink w:val="WWNum17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0" w15:restartNumberingAfterBreak="0">
    <w:nsid w:val="799D410A"/>
    <w:multiLevelType w:val="multilevel"/>
    <w:tmpl w:val="9FB08F98"/>
    <w:styleLink w:val="WWNum155"/>
    <w:lvl w:ilvl="0">
      <w:start w:val="1"/>
      <w:numFmt w:val="none"/>
      <w:lvlText w:val="%1"/>
      <w:lvlJc w:val="left"/>
      <w:pPr>
        <w:ind w:left="432" w:hanging="432"/>
      </w:pPr>
      <w:rPr>
        <w:rFonts w:cs="OpenSymbol,"/>
      </w:rPr>
    </w:lvl>
    <w:lvl w:ilvl="1">
      <w:start w:val="1"/>
      <w:numFmt w:val="none"/>
      <w:lvlText w:val="%2"/>
      <w:lvlJc w:val="left"/>
      <w:pPr>
        <w:ind w:left="576" w:hanging="576"/>
      </w:pPr>
      <w:rPr>
        <w:rFonts w:cs="Courier New"/>
      </w:rPr>
    </w:lvl>
    <w:lvl w:ilvl="2">
      <w:start w:val="1"/>
      <w:numFmt w:val="none"/>
      <w:lvlText w:val="%3"/>
      <w:lvlJc w:val="left"/>
      <w:pPr>
        <w:ind w:left="720" w:hanging="720"/>
      </w:pPr>
      <w:rPr>
        <w:rFonts w:cs="Wingdings"/>
      </w:rPr>
    </w:lvl>
    <w:lvl w:ilvl="3">
      <w:start w:val="1"/>
      <w:numFmt w:val="none"/>
      <w:lvlText w:val="%4"/>
      <w:lvlJc w:val="left"/>
      <w:pPr>
        <w:ind w:left="864" w:hanging="864"/>
      </w:pPr>
      <w:rPr>
        <w:rFonts w:cs="Symbol"/>
      </w:r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21" w15:restartNumberingAfterBreak="0">
    <w:nsid w:val="7A60795A"/>
    <w:multiLevelType w:val="multilevel"/>
    <w:tmpl w:val="6A72F2D4"/>
    <w:styleLink w:val="WWNum19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2" w15:restartNumberingAfterBreak="0">
    <w:nsid w:val="7CE52D3E"/>
    <w:multiLevelType w:val="multilevel"/>
    <w:tmpl w:val="E3F2808A"/>
    <w:styleLink w:val="WWNum2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3" w15:restartNumberingAfterBreak="0">
    <w:nsid w:val="7CF51B65"/>
    <w:multiLevelType w:val="multilevel"/>
    <w:tmpl w:val="6EF630AE"/>
    <w:styleLink w:val="WWNum11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4" w15:restartNumberingAfterBreak="0">
    <w:nsid w:val="7D3B20B6"/>
    <w:multiLevelType w:val="multilevel"/>
    <w:tmpl w:val="33222FB4"/>
    <w:styleLink w:val="WWNum18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5" w15:restartNumberingAfterBreak="0">
    <w:nsid w:val="7D533FD5"/>
    <w:multiLevelType w:val="multilevel"/>
    <w:tmpl w:val="33687518"/>
    <w:styleLink w:val="WWNum2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6" w15:restartNumberingAfterBreak="0">
    <w:nsid w:val="7DA60DC0"/>
    <w:multiLevelType w:val="multilevel"/>
    <w:tmpl w:val="88800C58"/>
    <w:styleLink w:val="WWNum7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7" w15:restartNumberingAfterBreak="0">
    <w:nsid w:val="7DDC2E8B"/>
    <w:multiLevelType w:val="multilevel"/>
    <w:tmpl w:val="856CEB56"/>
    <w:styleLink w:val="WWNum22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28" w15:restartNumberingAfterBreak="0">
    <w:nsid w:val="7DE03DC9"/>
    <w:multiLevelType w:val="multilevel"/>
    <w:tmpl w:val="1FDE12FC"/>
    <w:styleLink w:val="WWNum7"/>
    <w:lvl w:ilvl="0">
      <w:numFmt w:val="bullet"/>
      <w:lvlText w:val=""/>
      <w:lvlJc w:val="left"/>
      <w:pPr>
        <w:ind w:left="720" w:hanging="360"/>
      </w:pPr>
      <w:rPr>
        <w:rFonts w:cs="OpenSymbol"/>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329" w15:restartNumberingAfterBreak="0">
    <w:nsid w:val="7F1A4F31"/>
    <w:multiLevelType w:val="multilevel"/>
    <w:tmpl w:val="91F26DE8"/>
    <w:styleLink w:val="WWNum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0" w15:restartNumberingAfterBreak="0">
    <w:nsid w:val="7F400E2C"/>
    <w:multiLevelType w:val="multilevel"/>
    <w:tmpl w:val="A3BE2560"/>
    <w:styleLink w:val="WWNum7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1" w15:restartNumberingAfterBreak="0">
    <w:nsid w:val="7F9714C0"/>
    <w:multiLevelType w:val="multilevel"/>
    <w:tmpl w:val="9D1A5D5C"/>
    <w:styleLink w:val="WWNum2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95"/>
  </w:num>
  <w:num w:numId="2">
    <w:abstractNumId w:val="72"/>
  </w:num>
  <w:num w:numId="3">
    <w:abstractNumId w:val="171"/>
  </w:num>
  <w:num w:numId="4">
    <w:abstractNumId w:val="226"/>
  </w:num>
  <w:num w:numId="5">
    <w:abstractNumId w:val="36"/>
  </w:num>
  <w:num w:numId="6">
    <w:abstractNumId w:val="269"/>
  </w:num>
  <w:num w:numId="7">
    <w:abstractNumId w:val="328"/>
  </w:num>
  <w:num w:numId="8">
    <w:abstractNumId w:val="236"/>
  </w:num>
  <w:num w:numId="9">
    <w:abstractNumId w:val="25"/>
  </w:num>
  <w:num w:numId="10">
    <w:abstractNumId w:val="196"/>
  </w:num>
  <w:num w:numId="11">
    <w:abstractNumId w:val="44"/>
  </w:num>
  <w:num w:numId="12">
    <w:abstractNumId w:val="41"/>
  </w:num>
  <w:num w:numId="13">
    <w:abstractNumId w:val="87"/>
  </w:num>
  <w:num w:numId="14">
    <w:abstractNumId w:val="177"/>
  </w:num>
  <w:num w:numId="15">
    <w:abstractNumId w:val="234"/>
  </w:num>
  <w:num w:numId="16">
    <w:abstractNumId w:val="6"/>
  </w:num>
  <w:num w:numId="17">
    <w:abstractNumId w:val="284"/>
  </w:num>
  <w:num w:numId="18">
    <w:abstractNumId w:val="248"/>
  </w:num>
  <w:num w:numId="19">
    <w:abstractNumId w:val="20"/>
  </w:num>
  <w:num w:numId="20">
    <w:abstractNumId w:val="205"/>
  </w:num>
  <w:num w:numId="21">
    <w:abstractNumId w:val="89"/>
  </w:num>
  <w:num w:numId="22">
    <w:abstractNumId w:val="256"/>
  </w:num>
  <w:num w:numId="23">
    <w:abstractNumId w:val="1"/>
  </w:num>
  <w:num w:numId="24">
    <w:abstractNumId w:val="214"/>
  </w:num>
  <w:num w:numId="25">
    <w:abstractNumId w:val="28"/>
  </w:num>
  <w:num w:numId="26">
    <w:abstractNumId w:val="86"/>
  </w:num>
  <w:num w:numId="27">
    <w:abstractNumId w:val="126"/>
  </w:num>
  <w:num w:numId="28">
    <w:abstractNumId w:val="115"/>
  </w:num>
  <w:num w:numId="29">
    <w:abstractNumId w:val="63"/>
  </w:num>
  <w:num w:numId="30">
    <w:abstractNumId w:val="80"/>
  </w:num>
  <w:num w:numId="31">
    <w:abstractNumId w:val="144"/>
  </w:num>
  <w:num w:numId="32">
    <w:abstractNumId w:val="212"/>
  </w:num>
  <w:num w:numId="33">
    <w:abstractNumId w:val="66"/>
  </w:num>
  <w:num w:numId="34">
    <w:abstractNumId w:val="302"/>
  </w:num>
  <w:num w:numId="35">
    <w:abstractNumId w:val="61"/>
  </w:num>
  <w:num w:numId="36">
    <w:abstractNumId w:val="94"/>
  </w:num>
  <w:num w:numId="37">
    <w:abstractNumId w:val="96"/>
  </w:num>
  <w:num w:numId="38">
    <w:abstractNumId w:val="46"/>
  </w:num>
  <w:num w:numId="39">
    <w:abstractNumId w:val="270"/>
  </w:num>
  <w:num w:numId="40">
    <w:abstractNumId w:val="70"/>
  </w:num>
  <w:num w:numId="41">
    <w:abstractNumId w:val="82"/>
  </w:num>
  <w:num w:numId="42">
    <w:abstractNumId w:val="12"/>
  </w:num>
  <w:num w:numId="43">
    <w:abstractNumId w:val="93"/>
  </w:num>
  <w:num w:numId="44">
    <w:abstractNumId w:val="190"/>
  </w:num>
  <w:num w:numId="45">
    <w:abstractNumId w:val="64"/>
  </w:num>
  <w:num w:numId="46">
    <w:abstractNumId w:val="118"/>
  </w:num>
  <w:num w:numId="47">
    <w:abstractNumId w:val="91"/>
  </w:num>
  <w:num w:numId="48">
    <w:abstractNumId w:val="163"/>
  </w:num>
  <w:num w:numId="49">
    <w:abstractNumId w:val="45"/>
  </w:num>
  <w:num w:numId="50">
    <w:abstractNumId w:val="221"/>
  </w:num>
  <w:num w:numId="51">
    <w:abstractNumId w:val="297"/>
  </w:num>
  <w:num w:numId="52">
    <w:abstractNumId w:val="102"/>
  </w:num>
  <w:num w:numId="53">
    <w:abstractNumId w:val="233"/>
  </w:num>
  <w:num w:numId="54">
    <w:abstractNumId w:val="104"/>
  </w:num>
  <w:num w:numId="55">
    <w:abstractNumId w:val="83"/>
  </w:num>
  <w:num w:numId="56">
    <w:abstractNumId w:val="244"/>
  </w:num>
  <w:num w:numId="57">
    <w:abstractNumId w:val="295"/>
  </w:num>
  <w:num w:numId="58">
    <w:abstractNumId w:val="157"/>
  </w:num>
  <w:num w:numId="59">
    <w:abstractNumId w:val="272"/>
  </w:num>
  <w:num w:numId="60">
    <w:abstractNumId w:val="259"/>
  </w:num>
  <w:num w:numId="61">
    <w:abstractNumId w:val="119"/>
  </w:num>
  <w:num w:numId="62">
    <w:abstractNumId w:val="35"/>
  </w:num>
  <w:num w:numId="63">
    <w:abstractNumId w:val="9"/>
  </w:num>
  <w:num w:numId="64">
    <w:abstractNumId w:val="300"/>
  </w:num>
  <w:num w:numId="65">
    <w:abstractNumId w:val="10"/>
  </w:num>
  <w:num w:numId="66">
    <w:abstractNumId w:val="290"/>
  </w:num>
  <w:num w:numId="67">
    <w:abstractNumId w:val="207"/>
  </w:num>
  <w:num w:numId="68">
    <w:abstractNumId w:val="141"/>
  </w:num>
  <w:num w:numId="69">
    <w:abstractNumId w:val="112"/>
  </w:num>
  <w:num w:numId="70">
    <w:abstractNumId w:val="298"/>
  </w:num>
  <w:num w:numId="71">
    <w:abstractNumId w:val="187"/>
  </w:num>
  <w:num w:numId="72">
    <w:abstractNumId w:val="257"/>
  </w:num>
  <w:num w:numId="73">
    <w:abstractNumId w:val="152"/>
  </w:num>
  <w:num w:numId="74">
    <w:abstractNumId w:val="261"/>
  </w:num>
  <w:num w:numId="75">
    <w:abstractNumId w:val="73"/>
  </w:num>
  <w:num w:numId="76">
    <w:abstractNumId w:val="326"/>
  </w:num>
  <w:num w:numId="77">
    <w:abstractNumId w:val="330"/>
  </w:num>
  <w:num w:numId="78">
    <w:abstractNumId w:val="75"/>
  </w:num>
  <w:num w:numId="79">
    <w:abstractNumId w:val="188"/>
  </w:num>
  <w:num w:numId="80">
    <w:abstractNumId w:val="50"/>
  </w:num>
  <w:num w:numId="81">
    <w:abstractNumId w:val="278"/>
  </w:num>
  <w:num w:numId="82">
    <w:abstractNumId w:val="193"/>
  </w:num>
  <w:num w:numId="83">
    <w:abstractNumId w:val="24"/>
  </w:num>
  <w:num w:numId="84">
    <w:abstractNumId w:val="201"/>
  </w:num>
  <w:num w:numId="85">
    <w:abstractNumId w:val="316"/>
  </w:num>
  <w:num w:numId="86">
    <w:abstractNumId w:val="329"/>
  </w:num>
  <w:num w:numId="87">
    <w:abstractNumId w:val="250"/>
  </w:num>
  <w:num w:numId="88">
    <w:abstractNumId w:val="108"/>
  </w:num>
  <w:num w:numId="89">
    <w:abstractNumId w:val="135"/>
  </w:num>
  <w:num w:numId="90">
    <w:abstractNumId w:val="57"/>
  </w:num>
  <w:num w:numId="91">
    <w:abstractNumId w:val="172"/>
  </w:num>
  <w:num w:numId="92">
    <w:abstractNumId w:val="137"/>
  </w:num>
  <w:num w:numId="93">
    <w:abstractNumId w:val="26"/>
  </w:num>
  <w:num w:numId="94">
    <w:abstractNumId w:val="71"/>
  </w:num>
  <w:num w:numId="95">
    <w:abstractNumId w:val="117"/>
  </w:num>
  <w:num w:numId="96">
    <w:abstractNumId w:val="301"/>
  </w:num>
  <w:num w:numId="97">
    <w:abstractNumId w:val="255"/>
  </w:num>
  <w:num w:numId="98">
    <w:abstractNumId w:val="106"/>
  </w:num>
  <w:num w:numId="99">
    <w:abstractNumId w:val="76"/>
  </w:num>
  <w:num w:numId="100">
    <w:abstractNumId w:val="77"/>
  </w:num>
  <w:num w:numId="101">
    <w:abstractNumId w:val="178"/>
  </w:num>
  <w:num w:numId="102">
    <w:abstractNumId w:val="246"/>
  </w:num>
  <w:num w:numId="103">
    <w:abstractNumId w:val="69"/>
  </w:num>
  <w:num w:numId="104">
    <w:abstractNumId w:val="222"/>
  </w:num>
  <w:num w:numId="105">
    <w:abstractNumId w:val="215"/>
  </w:num>
  <w:num w:numId="106">
    <w:abstractNumId w:val="235"/>
  </w:num>
  <w:num w:numId="107">
    <w:abstractNumId w:val="107"/>
  </w:num>
  <w:num w:numId="108">
    <w:abstractNumId w:val="2"/>
  </w:num>
  <w:num w:numId="109">
    <w:abstractNumId w:val="199"/>
  </w:num>
  <w:num w:numId="110">
    <w:abstractNumId w:val="11"/>
  </w:num>
  <w:num w:numId="111">
    <w:abstractNumId w:val="323"/>
  </w:num>
  <w:num w:numId="112">
    <w:abstractNumId w:val="310"/>
  </w:num>
  <w:num w:numId="113">
    <w:abstractNumId w:val="88"/>
  </w:num>
  <w:num w:numId="114">
    <w:abstractNumId w:val="8"/>
  </w:num>
  <w:num w:numId="115">
    <w:abstractNumId w:val="286"/>
  </w:num>
  <w:num w:numId="116">
    <w:abstractNumId w:val="67"/>
  </w:num>
  <w:num w:numId="117">
    <w:abstractNumId w:val="120"/>
  </w:num>
  <w:num w:numId="118">
    <w:abstractNumId w:val="99"/>
  </w:num>
  <w:num w:numId="119">
    <w:abstractNumId w:val="211"/>
  </w:num>
  <w:num w:numId="120">
    <w:abstractNumId w:val="174"/>
  </w:num>
  <w:num w:numId="121">
    <w:abstractNumId w:val="232"/>
  </w:num>
  <w:num w:numId="122">
    <w:abstractNumId w:val="131"/>
  </w:num>
  <w:num w:numId="123">
    <w:abstractNumId w:val="185"/>
  </w:num>
  <w:num w:numId="124">
    <w:abstractNumId w:val="276"/>
  </w:num>
  <w:num w:numId="125">
    <w:abstractNumId w:val="245"/>
  </w:num>
  <w:num w:numId="126">
    <w:abstractNumId w:val="210"/>
  </w:num>
  <w:num w:numId="127">
    <w:abstractNumId w:val="289"/>
  </w:num>
  <w:num w:numId="128">
    <w:abstractNumId w:val="296"/>
  </w:num>
  <w:num w:numId="129">
    <w:abstractNumId w:val="110"/>
  </w:num>
  <w:num w:numId="130">
    <w:abstractNumId w:val="43"/>
  </w:num>
  <w:num w:numId="131">
    <w:abstractNumId w:val="147"/>
  </w:num>
  <w:num w:numId="132">
    <w:abstractNumId w:val="229"/>
  </w:num>
  <w:num w:numId="133">
    <w:abstractNumId w:val="49"/>
  </w:num>
  <w:num w:numId="134">
    <w:abstractNumId w:val="243"/>
  </w:num>
  <w:num w:numId="135">
    <w:abstractNumId w:val="240"/>
  </w:num>
  <w:num w:numId="136">
    <w:abstractNumId w:val="225"/>
  </w:num>
  <w:num w:numId="137">
    <w:abstractNumId w:val="314"/>
  </w:num>
  <w:num w:numId="138">
    <w:abstractNumId w:val="134"/>
  </w:num>
  <w:num w:numId="139">
    <w:abstractNumId w:val="160"/>
  </w:num>
  <w:num w:numId="140">
    <w:abstractNumId w:val="105"/>
  </w:num>
  <w:num w:numId="141">
    <w:abstractNumId w:val="39"/>
  </w:num>
  <w:num w:numId="142">
    <w:abstractNumId w:val="103"/>
  </w:num>
  <w:num w:numId="143">
    <w:abstractNumId w:val="18"/>
  </w:num>
  <w:num w:numId="144">
    <w:abstractNumId w:val="136"/>
  </w:num>
  <w:num w:numId="145">
    <w:abstractNumId w:val="293"/>
  </w:num>
  <w:num w:numId="146">
    <w:abstractNumId w:val="283"/>
  </w:num>
  <w:num w:numId="147">
    <w:abstractNumId w:val="3"/>
  </w:num>
  <w:num w:numId="148">
    <w:abstractNumId w:val="22"/>
  </w:num>
  <w:num w:numId="149">
    <w:abstractNumId w:val="268"/>
  </w:num>
  <w:num w:numId="150">
    <w:abstractNumId w:val="271"/>
  </w:num>
  <w:num w:numId="151">
    <w:abstractNumId w:val="124"/>
  </w:num>
  <w:num w:numId="152">
    <w:abstractNumId w:val="166"/>
  </w:num>
  <w:num w:numId="153">
    <w:abstractNumId w:val="231"/>
  </w:num>
  <w:num w:numId="154">
    <w:abstractNumId w:val="288"/>
  </w:num>
  <w:num w:numId="155">
    <w:abstractNumId w:val="320"/>
  </w:num>
  <w:num w:numId="156">
    <w:abstractNumId w:val="48"/>
  </w:num>
  <w:num w:numId="157">
    <w:abstractNumId w:val="90"/>
  </w:num>
  <w:num w:numId="158">
    <w:abstractNumId w:val="206"/>
  </w:num>
  <w:num w:numId="159">
    <w:abstractNumId w:val="273"/>
  </w:num>
  <w:num w:numId="160">
    <w:abstractNumId w:val="55"/>
  </w:num>
  <w:num w:numId="161">
    <w:abstractNumId w:val="308"/>
  </w:num>
  <w:num w:numId="162">
    <w:abstractNumId w:val="116"/>
  </w:num>
  <w:num w:numId="163">
    <w:abstractNumId w:val="304"/>
  </w:num>
  <w:num w:numId="164">
    <w:abstractNumId w:val="84"/>
  </w:num>
  <w:num w:numId="165">
    <w:abstractNumId w:val="21"/>
  </w:num>
  <w:num w:numId="166">
    <w:abstractNumId w:val="111"/>
  </w:num>
  <w:num w:numId="167">
    <w:abstractNumId w:val="315"/>
  </w:num>
  <w:num w:numId="168">
    <w:abstractNumId w:val="68"/>
  </w:num>
  <w:num w:numId="169">
    <w:abstractNumId w:val="318"/>
  </w:num>
  <w:num w:numId="170">
    <w:abstractNumId w:val="305"/>
  </w:num>
  <w:num w:numId="171">
    <w:abstractNumId w:val="161"/>
  </w:num>
  <w:num w:numId="172">
    <w:abstractNumId w:val="191"/>
  </w:num>
  <w:num w:numId="173">
    <w:abstractNumId w:val="97"/>
  </w:num>
  <w:num w:numId="174">
    <w:abstractNumId w:val="279"/>
  </w:num>
  <w:num w:numId="175">
    <w:abstractNumId w:val="319"/>
  </w:num>
  <w:num w:numId="176">
    <w:abstractNumId w:val="31"/>
  </w:num>
  <w:num w:numId="177">
    <w:abstractNumId w:val="281"/>
  </w:num>
  <w:num w:numId="178">
    <w:abstractNumId w:val="294"/>
  </w:num>
  <w:num w:numId="179">
    <w:abstractNumId w:val="79"/>
  </w:num>
  <w:num w:numId="180">
    <w:abstractNumId w:val="42"/>
  </w:num>
  <w:num w:numId="181">
    <w:abstractNumId w:val="324"/>
  </w:num>
  <w:num w:numId="182">
    <w:abstractNumId w:val="128"/>
  </w:num>
  <w:num w:numId="183">
    <w:abstractNumId w:val="291"/>
  </w:num>
  <w:num w:numId="184">
    <w:abstractNumId w:val="19"/>
  </w:num>
  <w:num w:numId="185">
    <w:abstractNumId w:val="47"/>
  </w:num>
  <w:num w:numId="186">
    <w:abstractNumId w:val="309"/>
  </w:num>
  <w:num w:numId="187">
    <w:abstractNumId w:val="262"/>
  </w:num>
  <w:num w:numId="188">
    <w:abstractNumId w:val="164"/>
  </w:num>
  <w:num w:numId="189">
    <w:abstractNumId w:val="153"/>
  </w:num>
  <w:num w:numId="190">
    <w:abstractNumId w:val="189"/>
  </w:num>
  <w:num w:numId="191">
    <w:abstractNumId w:val="321"/>
  </w:num>
  <w:num w:numId="192">
    <w:abstractNumId w:val="78"/>
  </w:num>
  <w:num w:numId="193">
    <w:abstractNumId w:val="303"/>
  </w:num>
  <w:num w:numId="194">
    <w:abstractNumId w:val="266"/>
  </w:num>
  <w:num w:numId="195">
    <w:abstractNumId w:val="167"/>
  </w:num>
  <w:num w:numId="196">
    <w:abstractNumId w:val="317"/>
  </w:num>
  <w:num w:numId="197">
    <w:abstractNumId w:val="181"/>
  </w:num>
  <w:num w:numId="198">
    <w:abstractNumId w:val="158"/>
  </w:num>
  <w:num w:numId="199">
    <w:abstractNumId w:val="280"/>
  </w:num>
  <w:num w:numId="200">
    <w:abstractNumId w:val="30"/>
  </w:num>
  <w:num w:numId="201">
    <w:abstractNumId w:val="203"/>
  </w:num>
  <w:num w:numId="202">
    <w:abstractNumId w:val="139"/>
  </w:num>
  <w:num w:numId="203">
    <w:abstractNumId w:val="37"/>
  </w:num>
  <w:num w:numId="204">
    <w:abstractNumId w:val="230"/>
  </w:num>
  <w:num w:numId="205">
    <w:abstractNumId w:val="140"/>
  </w:num>
  <w:num w:numId="206">
    <w:abstractNumId w:val="260"/>
  </w:num>
  <w:num w:numId="207">
    <w:abstractNumId w:val="138"/>
  </w:num>
  <w:num w:numId="208">
    <w:abstractNumId w:val="109"/>
  </w:num>
  <w:num w:numId="209">
    <w:abstractNumId w:val="264"/>
  </w:num>
  <w:num w:numId="210">
    <w:abstractNumId w:val="33"/>
  </w:num>
  <w:num w:numId="211">
    <w:abstractNumId w:val="123"/>
  </w:num>
  <w:num w:numId="212">
    <w:abstractNumId w:val="227"/>
  </w:num>
  <w:num w:numId="213">
    <w:abstractNumId w:val="85"/>
  </w:num>
  <w:num w:numId="214">
    <w:abstractNumId w:val="13"/>
  </w:num>
  <w:num w:numId="215">
    <w:abstractNumId w:val="228"/>
  </w:num>
  <w:num w:numId="216">
    <w:abstractNumId w:val="23"/>
  </w:num>
  <w:num w:numId="217">
    <w:abstractNumId w:val="267"/>
  </w:num>
  <w:num w:numId="218">
    <w:abstractNumId w:val="60"/>
  </w:num>
  <w:num w:numId="219">
    <w:abstractNumId w:val="184"/>
  </w:num>
  <w:num w:numId="220">
    <w:abstractNumId w:val="265"/>
  </w:num>
  <w:num w:numId="221">
    <w:abstractNumId w:val="154"/>
  </w:num>
  <w:num w:numId="222">
    <w:abstractNumId w:val="274"/>
  </w:num>
  <w:num w:numId="223">
    <w:abstractNumId w:val="130"/>
  </w:num>
  <w:num w:numId="224">
    <w:abstractNumId w:val="27"/>
  </w:num>
  <w:num w:numId="225">
    <w:abstractNumId w:val="132"/>
  </w:num>
  <w:num w:numId="226">
    <w:abstractNumId w:val="114"/>
  </w:num>
  <w:num w:numId="227">
    <w:abstractNumId w:val="327"/>
  </w:num>
  <w:num w:numId="228">
    <w:abstractNumId w:val="275"/>
  </w:num>
  <w:num w:numId="229">
    <w:abstractNumId w:val="204"/>
  </w:num>
  <w:num w:numId="230">
    <w:abstractNumId w:val="15"/>
  </w:num>
  <w:num w:numId="231">
    <w:abstractNumId w:val="252"/>
  </w:num>
  <w:num w:numId="232">
    <w:abstractNumId w:val="175"/>
  </w:num>
  <w:num w:numId="233">
    <w:abstractNumId w:val="313"/>
  </w:num>
  <w:num w:numId="234">
    <w:abstractNumId w:val="322"/>
  </w:num>
  <w:num w:numId="235">
    <w:abstractNumId w:val="209"/>
  </w:num>
  <w:num w:numId="236">
    <w:abstractNumId w:val="159"/>
  </w:num>
  <w:num w:numId="237">
    <w:abstractNumId w:val="51"/>
  </w:num>
  <w:num w:numId="238">
    <w:abstractNumId w:val="285"/>
  </w:num>
  <w:num w:numId="239">
    <w:abstractNumId w:val="237"/>
  </w:num>
  <w:num w:numId="240">
    <w:abstractNumId w:val="146"/>
  </w:num>
  <w:num w:numId="241">
    <w:abstractNumId w:val="129"/>
  </w:num>
  <w:num w:numId="242">
    <w:abstractNumId w:val="224"/>
  </w:num>
  <w:num w:numId="243">
    <w:abstractNumId w:val="238"/>
  </w:num>
  <w:num w:numId="244">
    <w:abstractNumId w:val="311"/>
  </w:num>
  <w:num w:numId="245">
    <w:abstractNumId w:val="287"/>
  </w:num>
  <w:num w:numId="246">
    <w:abstractNumId w:val="145"/>
  </w:num>
  <w:num w:numId="247">
    <w:abstractNumId w:val="52"/>
  </w:num>
  <w:num w:numId="248">
    <w:abstractNumId w:val="247"/>
  </w:num>
  <w:num w:numId="249">
    <w:abstractNumId w:val="100"/>
  </w:num>
  <w:num w:numId="250">
    <w:abstractNumId w:val="34"/>
  </w:num>
  <w:num w:numId="251">
    <w:abstractNumId w:val="254"/>
  </w:num>
  <w:num w:numId="252">
    <w:abstractNumId w:val="121"/>
  </w:num>
  <w:num w:numId="253">
    <w:abstractNumId w:val="65"/>
  </w:num>
  <w:num w:numId="254">
    <w:abstractNumId w:val="331"/>
  </w:num>
  <w:num w:numId="255">
    <w:abstractNumId w:val="17"/>
  </w:num>
  <w:num w:numId="256">
    <w:abstractNumId w:val="151"/>
  </w:num>
  <w:num w:numId="257">
    <w:abstractNumId w:val="195"/>
  </w:num>
  <w:num w:numId="258">
    <w:abstractNumId w:val="219"/>
  </w:num>
  <w:num w:numId="259">
    <w:abstractNumId w:val="142"/>
  </w:num>
  <w:num w:numId="260">
    <w:abstractNumId w:val="263"/>
  </w:num>
  <w:num w:numId="261">
    <w:abstractNumId w:val="194"/>
  </w:num>
  <w:num w:numId="262">
    <w:abstractNumId w:val="312"/>
  </w:num>
  <w:num w:numId="263">
    <w:abstractNumId w:val="218"/>
  </w:num>
  <w:num w:numId="264">
    <w:abstractNumId w:val="200"/>
  </w:num>
  <w:num w:numId="265">
    <w:abstractNumId w:val="239"/>
  </w:num>
  <w:num w:numId="266">
    <w:abstractNumId w:val="40"/>
  </w:num>
  <w:num w:numId="267">
    <w:abstractNumId w:val="176"/>
  </w:num>
  <w:num w:numId="268">
    <w:abstractNumId w:val="169"/>
  </w:num>
  <w:num w:numId="269">
    <w:abstractNumId w:val="197"/>
  </w:num>
  <w:num w:numId="270">
    <w:abstractNumId w:val="253"/>
  </w:num>
  <w:num w:numId="271">
    <w:abstractNumId w:val="165"/>
  </w:num>
  <w:num w:numId="272">
    <w:abstractNumId w:val="133"/>
  </w:num>
  <w:num w:numId="273">
    <w:abstractNumId w:val="179"/>
  </w:num>
  <w:num w:numId="274">
    <w:abstractNumId w:val="242"/>
  </w:num>
  <w:num w:numId="275">
    <w:abstractNumId w:val="122"/>
  </w:num>
  <w:num w:numId="276">
    <w:abstractNumId w:val="183"/>
  </w:num>
  <w:num w:numId="277">
    <w:abstractNumId w:val="32"/>
  </w:num>
  <w:num w:numId="278">
    <w:abstractNumId w:val="92"/>
  </w:num>
  <w:num w:numId="279">
    <w:abstractNumId w:val="4"/>
  </w:num>
  <w:num w:numId="280">
    <w:abstractNumId w:val="16"/>
  </w:num>
  <w:num w:numId="281">
    <w:abstractNumId w:val="98"/>
  </w:num>
  <w:num w:numId="282">
    <w:abstractNumId w:val="59"/>
  </w:num>
  <w:num w:numId="283">
    <w:abstractNumId w:val="127"/>
  </w:num>
  <w:num w:numId="284">
    <w:abstractNumId w:val="202"/>
  </w:num>
  <w:num w:numId="285">
    <w:abstractNumId w:val="149"/>
  </w:num>
  <w:num w:numId="286">
    <w:abstractNumId w:val="155"/>
  </w:num>
  <w:num w:numId="287">
    <w:abstractNumId w:val="241"/>
  </w:num>
  <w:num w:numId="288">
    <w:abstractNumId w:val="150"/>
  </w:num>
  <w:num w:numId="289">
    <w:abstractNumId w:val="213"/>
  </w:num>
  <w:num w:numId="290">
    <w:abstractNumId w:val="223"/>
  </w:num>
  <w:num w:numId="291">
    <w:abstractNumId w:val="180"/>
  </w:num>
  <w:num w:numId="292">
    <w:abstractNumId w:val="14"/>
  </w:num>
  <w:num w:numId="293">
    <w:abstractNumId w:val="198"/>
  </w:num>
  <w:num w:numId="294">
    <w:abstractNumId w:val="54"/>
  </w:num>
  <w:num w:numId="295">
    <w:abstractNumId w:val="325"/>
  </w:num>
  <w:num w:numId="296">
    <w:abstractNumId w:val="170"/>
  </w:num>
  <w:num w:numId="297">
    <w:abstractNumId w:val="186"/>
  </w:num>
  <w:num w:numId="298">
    <w:abstractNumId w:val="148"/>
  </w:num>
  <w:num w:numId="299">
    <w:abstractNumId w:val="277"/>
  </w:num>
  <w:num w:numId="300">
    <w:abstractNumId w:val="182"/>
  </w:num>
  <w:num w:numId="301">
    <w:abstractNumId w:val="0"/>
  </w:num>
  <w:num w:numId="302">
    <w:abstractNumId w:val="299"/>
  </w:num>
  <w:num w:numId="303">
    <w:abstractNumId w:val="216"/>
  </w:num>
  <w:num w:numId="304">
    <w:abstractNumId w:val="217"/>
  </w:num>
  <w:num w:numId="305">
    <w:abstractNumId w:val="306"/>
  </w:num>
  <w:num w:numId="306">
    <w:abstractNumId w:val="258"/>
  </w:num>
  <w:num w:numId="307">
    <w:abstractNumId w:val="192"/>
  </w:num>
  <w:num w:numId="308">
    <w:abstractNumId w:val="249"/>
  </w:num>
  <w:num w:numId="309">
    <w:abstractNumId w:val="156"/>
  </w:num>
  <w:num w:numId="310">
    <w:abstractNumId w:val="5"/>
  </w:num>
  <w:num w:numId="311">
    <w:abstractNumId w:val="58"/>
  </w:num>
  <w:num w:numId="312">
    <w:abstractNumId w:val="162"/>
  </w:num>
  <w:num w:numId="313">
    <w:abstractNumId w:val="251"/>
  </w:num>
  <w:num w:numId="314">
    <w:abstractNumId w:val="74"/>
  </w:num>
  <w:num w:numId="315">
    <w:abstractNumId w:val="220"/>
  </w:num>
  <w:num w:numId="316">
    <w:abstractNumId w:val="101"/>
  </w:num>
  <w:num w:numId="317">
    <w:abstractNumId w:val="113"/>
  </w:num>
  <w:num w:numId="318">
    <w:abstractNumId w:val="143"/>
  </w:num>
  <w:num w:numId="319">
    <w:abstractNumId w:val="81"/>
  </w:num>
  <w:num w:numId="320">
    <w:abstractNumId w:val="7"/>
  </w:num>
  <w:num w:numId="321">
    <w:abstractNumId w:val="292"/>
  </w:num>
  <w:num w:numId="322">
    <w:abstractNumId w:val="173"/>
  </w:num>
  <w:num w:numId="323">
    <w:abstractNumId w:val="56"/>
  </w:num>
  <w:num w:numId="324">
    <w:abstractNumId w:val="307"/>
  </w:num>
  <w:num w:numId="325">
    <w:abstractNumId w:val="53"/>
  </w:num>
  <w:num w:numId="326">
    <w:abstractNumId w:val="29"/>
  </w:num>
  <w:num w:numId="327">
    <w:abstractNumId w:val="168"/>
  </w:num>
  <w:num w:numId="328">
    <w:abstractNumId w:val="208"/>
  </w:num>
  <w:num w:numId="329">
    <w:abstractNumId w:val="62"/>
  </w:num>
  <w:num w:numId="330">
    <w:abstractNumId w:val="38"/>
  </w:num>
  <w:num w:numId="331">
    <w:abstractNumId w:val="282"/>
  </w:num>
  <w:num w:numId="332">
    <w:abstractNumId w:val="125"/>
  </w:num>
  <w:num w:numId="333">
    <w:abstractNumId w:val="176"/>
    <w:lvlOverride w:ilvl="0">
      <w:startOverride w:val="1"/>
    </w:lvlOverride>
  </w:num>
  <w:num w:numId="334">
    <w:abstractNumId w:val="169"/>
    <w:lvlOverride w:ilvl="0">
      <w:startOverride w:val="1"/>
    </w:lvlOverride>
  </w:num>
  <w:num w:numId="335">
    <w:abstractNumId w:val="197"/>
    <w:lvlOverride w:ilvl="0">
      <w:startOverride w:val="1"/>
    </w:lvlOverride>
  </w:num>
  <w:num w:numId="336">
    <w:abstractNumId w:val="253"/>
    <w:lvlOverride w:ilvl="0">
      <w:startOverride w:val="1"/>
    </w:lvlOverride>
  </w:num>
  <w:num w:numId="337">
    <w:abstractNumId w:val="165"/>
    <w:lvlOverride w:ilvl="0">
      <w:startOverride w:val="1"/>
    </w:lvlOverride>
  </w:num>
  <w:num w:numId="338">
    <w:abstractNumId w:val="133"/>
    <w:lvlOverride w:ilvl="0">
      <w:startOverride w:val="1"/>
    </w:lvlOverride>
  </w:num>
  <w:num w:numId="339">
    <w:abstractNumId w:val="179"/>
    <w:lvlOverride w:ilvl="0"/>
  </w:num>
  <w:num w:numId="340">
    <w:abstractNumId w:val="242"/>
    <w:lvlOverride w:ilvl="0"/>
  </w:num>
  <w:num w:numId="341">
    <w:abstractNumId w:val="122"/>
    <w:lvlOverride w:ilvl="0"/>
  </w:num>
  <w:num w:numId="342">
    <w:abstractNumId w:val="183"/>
    <w:lvlOverride w:ilvl="0"/>
  </w:num>
  <w:num w:numId="343">
    <w:abstractNumId w:val="32"/>
    <w:lvlOverride w:ilvl="0"/>
  </w:num>
  <w:num w:numId="344">
    <w:abstractNumId w:val="92"/>
    <w:lvlOverride w:ilvl="0"/>
  </w:num>
  <w:num w:numId="345">
    <w:abstractNumId w:val="4"/>
    <w:lvlOverride w:ilvl="0"/>
  </w:num>
  <w:num w:numId="346">
    <w:abstractNumId w:val="16"/>
    <w:lvlOverride w:ilvl="0"/>
  </w:num>
  <w:num w:numId="347">
    <w:abstractNumId w:val="98"/>
    <w:lvlOverride w:ilvl="0"/>
  </w:num>
  <w:num w:numId="348">
    <w:abstractNumId w:val="59"/>
    <w:lvlOverride w:ilvl="0"/>
  </w:num>
  <w:num w:numId="349">
    <w:abstractNumId w:val="127"/>
    <w:lvlOverride w:ilvl="0"/>
  </w:num>
  <w:num w:numId="350">
    <w:abstractNumId w:val="202"/>
    <w:lvlOverride w:ilvl="0"/>
  </w:num>
  <w:num w:numId="351">
    <w:abstractNumId w:val="149"/>
    <w:lvlOverride w:ilvl="0"/>
  </w:num>
  <w:num w:numId="352">
    <w:abstractNumId w:val="155"/>
    <w:lvlOverride w:ilvl="0"/>
  </w:num>
  <w:num w:numId="353">
    <w:abstractNumId w:val="241"/>
    <w:lvlOverride w:ilvl="0"/>
  </w:num>
  <w:num w:numId="354">
    <w:abstractNumId w:val="150"/>
    <w:lvlOverride w:ilvl="0"/>
  </w:num>
  <w:num w:numId="355">
    <w:abstractNumId w:val="213"/>
    <w:lvlOverride w:ilvl="0"/>
  </w:num>
  <w:num w:numId="356">
    <w:abstractNumId w:val="93"/>
    <w:lvlOverride w:ilvl="0"/>
  </w:num>
  <w:num w:numId="357">
    <w:abstractNumId w:val="223"/>
    <w:lvlOverride w:ilvl="0">
      <w:startOverride w:val="1"/>
    </w:lvlOverride>
  </w:num>
  <w:num w:numId="358">
    <w:abstractNumId w:val="327"/>
    <w:lvlOverride w:ilvl="0">
      <w:startOverride w:val="1"/>
    </w:lvlOverride>
  </w:num>
  <w:num w:numId="359">
    <w:abstractNumId w:val="180"/>
    <w:lvlOverride w:ilvl="0">
      <w:startOverride w:val="1"/>
    </w:lvlOverride>
  </w:num>
  <w:num w:numId="360">
    <w:abstractNumId w:val="275"/>
    <w:lvlOverride w:ilvl="0">
      <w:startOverride w:val="1"/>
    </w:lvlOverride>
  </w:num>
  <w:num w:numId="361">
    <w:abstractNumId w:val="14"/>
    <w:lvlOverride w:ilvl="0"/>
  </w:num>
  <w:num w:numId="362">
    <w:abstractNumId w:val="198"/>
    <w:lvlOverride w:ilvl="0"/>
  </w:num>
  <w:num w:numId="363">
    <w:abstractNumId w:val="54"/>
    <w:lvlOverride w:ilvl="0"/>
  </w:num>
  <w:num w:numId="364">
    <w:abstractNumId w:val="325"/>
    <w:lvlOverride w:ilvl="0"/>
  </w:num>
  <w:num w:numId="365">
    <w:abstractNumId w:val="170"/>
    <w:lvlOverride w:ilvl="0"/>
  </w:num>
  <w:num w:numId="366">
    <w:abstractNumId w:val="186"/>
    <w:lvlOverride w:ilvl="0"/>
  </w:num>
  <w:num w:numId="367">
    <w:abstractNumId w:val="148"/>
    <w:lvlOverride w:ilvl="0"/>
  </w:num>
  <w:num w:numId="368">
    <w:abstractNumId w:val="277"/>
    <w:lvlOverride w:ilvl="0"/>
  </w:num>
  <w:num w:numId="369">
    <w:abstractNumId w:val="182"/>
    <w:lvlOverride w:ilvl="0"/>
  </w:num>
  <w:num w:numId="370">
    <w:abstractNumId w:val="0"/>
    <w:lvlOverride w:ilvl="0"/>
  </w:num>
  <w:num w:numId="371">
    <w:abstractNumId w:val="299"/>
    <w:lvlOverride w:ilvl="0"/>
  </w:num>
  <w:num w:numId="372">
    <w:abstractNumId w:val="216"/>
    <w:lvlOverride w:ilvl="0"/>
  </w:num>
  <w:num w:numId="373">
    <w:abstractNumId w:val="217"/>
    <w:lvlOverride w:ilvl="0"/>
  </w:num>
  <w:num w:numId="374">
    <w:abstractNumId w:val="306"/>
    <w:lvlOverride w:ilvl="0"/>
  </w:num>
  <w:num w:numId="375">
    <w:abstractNumId w:val="258"/>
    <w:lvlOverride w:ilvl="0"/>
  </w:num>
  <w:num w:numId="376">
    <w:abstractNumId w:val="192"/>
    <w:lvlOverride w:ilvl="0"/>
  </w:num>
  <w:num w:numId="377">
    <w:abstractNumId w:val="249"/>
    <w:lvlOverride w:ilvl="0"/>
  </w:num>
  <w:num w:numId="378">
    <w:abstractNumId w:val="156"/>
    <w:lvlOverride w:ilvl="0"/>
  </w:num>
  <w:num w:numId="379">
    <w:abstractNumId w:val="5"/>
    <w:lvlOverride w:ilvl="0"/>
  </w:num>
  <w:num w:numId="380">
    <w:abstractNumId w:val="58"/>
    <w:lvlOverride w:ilvl="0"/>
  </w:num>
  <w:num w:numId="381">
    <w:abstractNumId w:val="162"/>
    <w:lvlOverride w:ilvl="0"/>
  </w:num>
  <w:num w:numId="382">
    <w:abstractNumId w:val="251"/>
    <w:lvlOverride w:ilvl="0"/>
  </w:num>
  <w:num w:numId="383">
    <w:abstractNumId w:val="74"/>
    <w:lvlOverride w:ilvl="0"/>
  </w:num>
  <w:num w:numId="384">
    <w:abstractNumId w:val="220"/>
    <w:lvlOverride w:ilvl="0"/>
  </w:num>
  <w:num w:numId="385">
    <w:abstractNumId w:val="101"/>
    <w:lvlOverride w:ilvl="0"/>
  </w:num>
  <w:num w:numId="386">
    <w:abstractNumId w:val="113"/>
    <w:lvlOverride w:ilvl="0"/>
  </w:num>
  <w:num w:numId="387">
    <w:abstractNumId w:val="143"/>
    <w:lvlOverride w:ilvl="0"/>
  </w:num>
  <w:numIdMacAtCleanup w:val="3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555920"/>
    <w:rsid w:val="00555920"/>
    <w:rsid w:val="00B14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37F2754-E4C5-4FDB-BB76-324D0F819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keepNext/>
      <w:spacing w:before="240" w:after="60"/>
      <w:outlineLvl w:val="0"/>
    </w:pPr>
    <w:rPr>
      <w:rFonts w:ascii="Calibri Light" w:eastAsia="Times New Roman" w:hAnsi="Calibri Light"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Intituldocument">
    <w:name w:val="Intitulé document"/>
    <w:basedOn w:val="Standard"/>
    <w:pPr>
      <w:keepNext/>
      <w:jc w:val="center"/>
    </w:pPr>
    <w:rPr>
      <w:rFonts w:eastAsia="Times New Roman" w:cs="Times New Roman"/>
      <w:b/>
      <w:bCs/>
      <w:sz w:val="44"/>
      <w:szCs w:val="44"/>
    </w:rPr>
  </w:style>
  <w:style w:type="paragraph" w:customStyle="1" w:styleId="Commentaire">
    <w:name w:val="Commentaire"/>
    <w:basedOn w:val="Standard"/>
    <w:rPr>
      <w:sz w:val="20"/>
      <w:szCs w:val="20"/>
    </w:rPr>
  </w:style>
  <w:style w:type="paragraph" w:customStyle="1" w:styleId="Annotationc">
    <w:name w:val="Annotation c"/>
    <w:basedOn w:val="Commentaire"/>
    <w:pPr>
      <w:tabs>
        <w:tab w:val="left" w:pos="1496"/>
      </w:tabs>
      <w:ind w:left="187" w:hanging="187"/>
      <w:jc w:val="center"/>
    </w:pPr>
    <w:rPr>
      <w:rFonts w:eastAsia="Times New Roman" w:cs="Times New Roman"/>
      <w:sz w:val="24"/>
      <w:szCs w:val="24"/>
    </w:rPr>
  </w:style>
  <w:style w:type="paragraph" w:styleId="Footer">
    <w:name w:val="footer"/>
    <w:basedOn w:val="Standard"/>
    <w:pPr>
      <w:suppressLineNumbers/>
      <w:tabs>
        <w:tab w:val="center" w:pos="5046"/>
        <w:tab w:val="right" w:pos="10092"/>
      </w:tabs>
    </w:pPr>
  </w:style>
  <w:style w:type="paragraph" w:customStyle="1" w:styleId="Footnote">
    <w:name w:val="Footnote"/>
    <w:basedOn w:val="Standard"/>
    <w:pPr>
      <w:suppressLineNumbers/>
      <w:ind w:left="283" w:hanging="283"/>
    </w:pPr>
    <w:rPr>
      <w:sz w:val="20"/>
      <w:szCs w:val="20"/>
    </w:rPr>
  </w:style>
  <w:style w:type="paragraph" w:styleId="FootnoteText">
    <w:name w:val="footnote text"/>
    <w:basedOn w:val="Standard"/>
    <w:rPr>
      <w:sz w:val="20"/>
      <w:szCs w:val="20"/>
    </w:rPr>
  </w:style>
  <w:style w:type="paragraph" w:customStyle="1" w:styleId="TableContents">
    <w:name w:val="Table Contents"/>
    <w:basedOn w:val="Standard"/>
    <w:pPr>
      <w:suppressLineNumbers/>
    </w:pPr>
  </w:style>
  <w:style w:type="character" w:customStyle="1" w:styleId="WW8Num3z0">
    <w:name w:val="WW8Num3z0"/>
    <w:rPr>
      <w:rFonts w:ascii="Symbol" w:hAnsi="Symbol" w:cs="Open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Policepardfaut">
    <w:name w:val="Police par défaut"/>
  </w:style>
  <w:style w:type="character" w:customStyle="1" w:styleId="FootnoteSymbol">
    <w:name w:val="Footnote Symbol"/>
    <w:basedOn w:val="Policepardfaut"/>
    <w:rPr>
      <w:position w:val="0"/>
      <w:vertAlign w:val="superscript"/>
    </w:rPr>
  </w:style>
  <w:style w:type="character" w:customStyle="1" w:styleId="WW8Num4z0">
    <w:name w:val="WW8Num4z0"/>
    <w:rPr>
      <w:rFonts w:ascii="Wingdings 2" w:hAnsi="Wingdings 2" w:cs="OpenSymbol,"/>
    </w:rPr>
  </w:style>
  <w:style w:type="character" w:customStyle="1" w:styleId="WW8Num5z0">
    <w:name w:val="WW8Num5z0"/>
    <w:rPr>
      <w:rFonts w:ascii="Wingdings 2" w:hAnsi="Wingdings 2" w:cs="OpenSymbol,"/>
    </w:rPr>
  </w:style>
  <w:style w:type="character" w:customStyle="1" w:styleId="WW8Num6z0">
    <w:name w:val="WW8Num6z0"/>
    <w:rPr>
      <w:rFonts w:ascii="Wingdings 2" w:hAnsi="Wingdings 2" w:cs="OpenSymbol,"/>
    </w:rPr>
  </w:style>
  <w:style w:type="character" w:customStyle="1" w:styleId="WW8Num7z0">
    <w:name w:val="WW8Num7z0"/>
    <w:rPr>
      <w:rFonts w:ascii="Wingdings 2" w:hAnsi="Wingdings 2" w:cs="OpenSymbol,"/>
    </w:rPr>
  </w:style>
  <w:style w:type="character" w:customStyle="1" w:styleId="WW8Num8z0">
    <w:name w:val="WW8Num8z0"/>
    <w:rPr>
      <w:rFonts w:ascii="Symbol" w:hAnsi="Symbol" w:cs="OpenSymbol,"/>
    </w:rPr>
  </w:style>
  <w:style w:type="character" w:customStyle="1" w:styleId="ListLabel6">
    <w:name w:val="ListLabel 6"/>
    <w:rPr>
      <w:rFonts w:cs="OpenSymbol"/>
    </w:rPr>
  </w:style>
  <w:style w:type="character" w:customStyle="1" w:styleId="ListLabel7">
    <w:name w:val="ListLabel 7"/>
    <w:rPr>
      <w:rFonts w:eastAsia="OpenSymbol" w:cs="OpenSymbol"/>
    </w:rPr>
  </w:style>
  <w:style w:type="character" w:styleId="FootnoteReference">
    <w:name w:val="footnote reference"/>
    <w:rPr>
      <w:position w:val="0"/>
      <w:vertAlign w:val="superscript"/>
    </w:rPr>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ListLabel9">
    <w:name w:val="ListLabel 9"/>
    <w:rPr>
      <w:rFonts w:eastAsia="OpenSymbol" w:cs="OpenSymbol"/>
    </w:rPr>
  </w:style>
  <w:style w:type="character" w:customStyle="1" w:styleId="ListLabel10">
    <w:name w:val="ListLabel 10"/>
    <w:rPr>
      <w:rFonts w:cs="OpenSymbol,"/>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13">
    <w:name w:val="ListLabel 13"/>
    <w:rPr>
      <w:rFonts w:cs="Symbol"/>
    </w:rPr>
  </w:style>
  <w:style w:type="character" w:customStyle="1" w:styleId="ListLabel14">
    <w:name w:val="ListLabel 14"/>
    <w:rPr>
      <w:rFonts w:cs="OpenSymbol"/>
    </w:rPr>
  </w:style>
  <w:style w:type="character" w:customStyle="1" w:styleId="ListLabel15">
    <w:name w:val="ListLabel 15"/>
    <w:rPr>
      <w:rFonts w:eastAsia="OpenSymbol" w:cs="OpenSymbol"/>
    </w:rPr>
  </w:style>
  <w:style w:type="character" w:customStyle="1" w:styleId="ListLabel16">
    <w:name w:val="ListLabel 16"/>
    <w:rPr>
      <w:rFonts w:cs="OpenSymbol,"/>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OpenSymbol"/>
    </w:rPr>
  </w:style>
  <w:style w:type="character" w:customStyle="1" w:styleId="ListLabel21">
    <w:name w:val="ListLabel 21"/>
    <w:rPr>
      <w:rFonts w:eastAsia="OpenSymbol" w:cs="OpenSymbol"/>
    </w:rPr>
  </w:style>
  <w:style w:type="character" w:customStyle="1" w:styleId="ListLabel22">
    <w:name w:val="ListLabel 22"/>
    <w:rPr>
      <w:rFonts w:cs="Open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OpenSymbol"/>
    </w:rPr>
  </w:style>
  <w:style w:type="character" w:customStyle="1" w:styleId="ListLabel27">
    <w:name w:val="ListLabel 27"/>
    <w:rPr>
      <w:rFonts w:eastAsia="OpenSymbol" w:cs="OpenSymbol"/>
    </w:rPr>
  </w:style>
  <w:style w:type="character" w:customStyle="1" w:styleId="ListLabel28">
    <w:name w:val="ListLabel 28"/>
    <w:rPr>
      <w:rFonts w:cs="OpenSymbol,"/>
    </w:rPr>
  </w:style>
  <w:style w:type="character" w:customStyle="1" w:styleId="ListLabel29">
    <w:name w:val="ListLabel 29"/>
    <w:rPr>
      <w:rFonts w:cs="Courier New"/>
    </w:rPr>
  </w:style>
  <w:style w:type="character" w:customStyle="1" w:styleId="ListLabel30">
    <w:name w:val="ListLabel 30"/>
    <w:rPr>
      <w:rFonts w:cs="Wingdings"/>
    </w:rPr>
  </w:style>
  <w:style w:type="character" w:customStyle="1" w:styleId="ListLabel31">
    <w:name w:val="ListLabel 31"/>
    <w:rPr>
      <w:rFonts w:cs="Symbol"/>
    </w:rPr>
  </w:style>
  <w:style w:type="character" w:customStyle="1" w:styleId="ListLabel32">
    <w:name w:val="ListLabel 32"/>
    <w:rPr>
      <w:rFonts w:cs="OpenSymbol"/>
    </w:rPr>
  </w:style>
  <w:style w:type="character" w:customStyle="1" w:styleId="ListLabel33">
    <w:name w:val="ListLabel 33"/>
    <w:rPr>
      <w:rFonts w:eastAsia="OpenSymbol" w:cs="OpenSymbol"/>
    </w:rPr>
  </w:style>
  <w:style w:type="character" w:customStyle="1" w:styleId="ListLabel34">
    <w:name w:val="ListLabel 34"/>
    <w:rPr>
      <w:rFonts w:cs="OpenSymbol,"/>
    </w:rPr>
  </w:style>
  <w:style w:type="character" w:customStyle="1" w:styleId="ListLabel35">
    <w:name w:val="ListLabel 35"/>
    <w:rPr>
      <w:rFonts w:cs="Courier New"/>
    </w:rPr>
  </w:style>
  <w:style w:type="character" w:customStyle="1" w:styleId="ListLabel36">
    <w:name w:val="ListLabel 36"/>
    <w:rPr>
      <w:rFonts w:cs="Wingdings"/>
    </w:rPr>
  </w:style>
  <w:style w:type="character" w:customStyle="1" w:styleId="ListLabel37">
    <w:name w:val="ListLabel 37"/>
    <w:rPr>
      <w:rFonts w:cs="Symbol"/>
    </w:rPr>
  </w:style>
  <w:style w:type="character" w:customStyle="1" w:styleId="ListLabel38">
    <w:name w:val="ListLabel 38"/>
    <w:rPr>
      <w:rFonts w:cs="OpenSymbol"/>
    </w:rPr>
  </w:style>
  <w:style w:type="character" w:customStyle="1" w:styleId="ListLabel39">
    <w:name w:val="ListLabel 39"/>
    <w:rPr>
      <w:rFonts w:eastAsia="OpenSymbol" w:cs="OpenSymbol"/>
    </w:rPr>
  </w:style>
  <w:style w:type="character" w:customStyle="1" w:styleId="ListLabel40">
    <w:name w:val="ListLabel 40"/>
    <w:rPr>
      <w:rFonts w:cs="Open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OpenSymbol"/>
    </w:rPr>
  </w:style>
  <w:style w:type="character" w:customStyle="1" w:styleId="ListLabel45">
    <w:name w:val="ListLabel 45"/>
    <w:rPr>
      <w:rFonts w:eastAsia="OpenSymbol" w:cs="OpenSymbol"/>
    </w:rPr>
  </w:style>
  <w:style w:type="character" w:customStyle="1" w:styleId="StrongEmphasis">
    <w:name w:val="Strong Emphasis"/>
    <w:basedOn w:val="DefaultParagraphFont"/>
    <w:rPr>
      <w:rFonts w:cs="Times New Roman"/>
      <w:b/>
      <w:bCs/>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numbering" w:customStyle="1" w:styleId="WWNum72">
    <w:name w:val="WWNum72"/>
    <w:basedOn w:val="NoList"/>
    <w:pPr>
      <w:numPr>
        <w:numId w:val="72"/>
      </w:numPr>
    </w:pPr>
  </w:style>
  <w:style w:type="numbering" w:customStyle="1" w:styleId="WWNum73">
    <w:name w:val="WWNum73"/>
    <w:basedOn w:val="NoList"/>
    <w:pPr>
      <w:numPr>
        <w:numId w:val="73"/>
      </w:numPr>
    </w:pPr>
  </w:style>
  <w:style w:type="numbering" w:customStyle="1" w:styleId="WWNum74">
    <w:name w:val="WWNum74"/>
    <w:basedOn w:val="NoList"/>
    <w:pPr>
      <w:numPr>
        <w:numId w:val="74"/>
      </w:numPr>
    </w:pPr>
  </w:style>
  <w:style w:type="numbering" w:customStyle="1" w:styleId="WWNum75">
    <w:name w:val="WWNum75"/>
    <w:basedOn w:val="NoList"/>
    <w:pPr>
      <w:numPr>
        <w:numId w:val="75"/>
      </w:numPr>
    </w:pPr>
  </w:style>
  <w:style w:type="numbering" w:customStyle="1" w:styleId="WWNum76">
    <w:name w:val="WWNum76"/>
    <w:basedOn w:val="NoList"/>
    <w:pPr>
      <w:numPr>
        <w:numId w:val="76"/>
      </w:numPr>
    </w:pPr>
  </w:style>
  <w:style w:type="numbering" w:customStyle="1" w:styleId="WWNum77">
    <w:name w:val="WWNum77"/>
    <w:basedOn w:val="NoList"/>
    <w:pPr>
      <w:numPr>
        <w:numId w:val="77"/>
      </w:numPr>
    </w:pPr>
  </w:style>
  <w:style w:type="numbering" w:customStyle="1" w:styleId="WWNum78">
    <w:name w:val="WWNum78"/>
    <w:basedOn w:val="NoList"/>
    <w:pPr>
      <w:numPr>
        <w:numId w:val="78"/>
      </w:numPr>
    </w:pPr>
  </w:style>
  <w:style w:type="numbering" w:customStyle="1" w:styleId="WWNum79">
    <w:name w:val="WWNum79"/>
    <w:basedOn w:val="NoList"/>
    <w:pPr>
      <w:numPr>
        <w:numId w:val="79"/>
      </w:numPr>
    </w:pPr>
  </w:style>
  <w:style w:type="numbering" w:customStyle="1" w:styleId="WWNum80">
    <w:name w:val="WWNum80"/>
    <w:basedOn w:val="NoList"/>
    <w:pPr>
      <w:numPr>
        <w:numId w:val="80"/>
      </w:numPr>
    </w:pPr>
  </w:style>
  <w:style w:type="numbering" w:customStyle="1" w:styleId="WWNum81">
    <w:name w:val="WWNum81"/>
    <w:basedOn w:val="NoList"/>
    <w:pPr>
      <w:numPr>
        <w:numId w:val="81"/>
      </w:numPr>
    </w:pPr>
  </w:style>
  <w:style w:type="numbering" w:customStyle="1" w:styleId="WWNum82">
    <w:name w:val="WWNum82"/>
    <w:basedOn w:val="NoList"/>
    <w:pPr>
      <w:numPr>
        <w:numId w:val="82"/>
      </w:numPr>
    </w:pPr>
  </w:style>
  <w:style w:type="numbering" w:customStyle="1" w:styleId="WWNum83">
    <w:name w:val="WWNum83"/>
    <w:basedOn w:val="NoList"/>
    <w:pPr>
      <w:numPr>
        <w:numId w:val="83"/>
      </w:numPr>
    </w:pPr>
  </w:style>
  <w:style w:type="numbering" w:customStyle="1" w:styleId="WWNum84">
    <w:name w:val="WWNum84"/>
    <w:basedOn w:val="NoList"/>
    <w:pPr>
      <w:numPr>
        <w:numId w:val="84"/>
      </w:numPr>
    </w:pPr>
  </w:style>
  <w:style w:type="numbering" w:customStyle="1" w:styleId="WWNum85">
    <w:name w:val="WWNum85"/>
    <w:basedOn w:val="NoList"/>
    <w:pPr>
      <w:numPr>
        <w:numId w:val="85"/>
      </w:numPr>
    </w:pPr>
  </w:style>
  <w:style w:type="numbering" w:customStyle="1" w:styleId="WWNum86">
    <w:name w:val="WWNum86"/>
    <w:basedOn w:val="NoList"/>
    <w:pPr>
      <w:numPr>
        <w:numId w:val="86"/>
      </w:numPr>
    </w:pPr>
  </w:style>
  <w:style w:type="numbering" w:customStyle="1" w:styleId="WWNum87">
    <w:name w:val="WWNum87"/>
    <w:basedOn w:val="NoList"/>
    <w:pPr>
      <w:numPr>
        <w:numId w:val="87"/>
      </w:numPr>
    </w:pPr>
  </w:style>
  <w:style w:type="numbering" w:customStyle="1" w:styleId="WWNum88">
    <w:name w:val="WWNum88"/>
    <w:basedOn w:val="NoList"/>
    <w:pPr>
      <w:numPr>
        <w:numId w:val="88"/>
      </w:numPr>
    </w:pPr>
  </w:style>
  <w:style w:type="numbering" w:customStyle="1" w:styleId="WWNum89">
    <w:name w:val="WWNum89"/>
    <w:basedOn w:val="NoList"/>
    <w:pPr>
      <w:numPr>
        <w:numId w:val="89"/>
      </w:numPr>
    </w:pPr>
  </w:style>
  <w:style w:type="numbering" w:customStyle="1" w:styleId="WWNum90">
    <w:name w:val="WWNum90"/>
    <w:basedOn w:val="NoList"/>
    <w:pPr>
      <w:numPr>
        <w:numId w:val="90"/>
      </w:numPr>
    </w:pPr>
  </w:style>
  <w:style w:type="numbering" w:customStyle="1" w:styleId="WWNum91">
    <w:name w:val="WWNum91"/>
    <w:basedOn w:val="NoList"/>
    <w:pPr>
      <w:numPr>
        <w:numId w:val="91"/>
      </w:numPr>
    </w:pPr>
  </w:style>
  <w:style w:type="numbering" w:customStyle="1" w:styleId="WWNum92">
    <w:name w:val="WWNum92"/>
    <w:basedOn w:val="NoList"/>
    <w:pPr>
      <w:numPr>
        <w:numId w:val="92"/>
      </w:numPr>
    </w:pPr>
  </w:style>
  <w:style w:type="numbering" w:customStyle="1" w:styleId="WWNum93">
    <w:name w:val="WWNum93"/>
    <w:basedOn w:val="NoList"/>
    <w:pPr>
      <w:numPr>
        <w:numId w:val="93"/>
      </w:numPr>
    </w:pPr>
  </w:style>
  <w:style w:type="numbering" w:customStyle="1" w:styleId="WWNum94">
    <w:name w:val="WWNum94"/>
    <w:basedOn w:val="NoList"/>
    <w:pPr>
      <w:numPr>
        <w:numId w:val="94"/>
      </w:numPr>
    </w:pPr>
  </w:style>
  <w:style w:type="numbering" w:customStyle="1" w:styleId="WWNum95">
    <w:name w:val="WWNum95"/>
    <w:basedOn w:val="NoList"/>
    <w:pPr>
      <w:numPr>
        <w:numId w:val="95"/>
      </w:numPr>
    </w:pPr>
  </w:style>
  <w:style w:type="numbering" w:customStyle="1" w:styleId="WWNum96">
    <w:name w:val="WWNum96"/>
    <w:basedOn w:val="NoList"/>
    <w:pPr>
      <w:numPr>
        <w:numId w:val="96"/>
      </w:numPr>
    </w:pPr>
  </w:style>
  <w:style w:type="numbering" w:customStyle="1" w:styleId="WWNum97">
    <w:name w:val="WWNum97"/>
    <w:basedOn w:val="NoList"/>
    <w:pPr>
      <w:numPr>
        <w:numId w:val="97"/>
      </w:numPr>
    </w:pPr>
  </w:style>
  <w:style w:type="numbering" w:customStyle="1" w:styleId="WWNum98">
    <w:name w:val="WWNum98"/>
    <w:basedOn w:val="NoList"/>
    <w:pPr>
      <w:numPr>
        <w:numId w:val="98"/>
      </w:numPr>
    </w:pPr>
  </w:style>
  <w:style w:type="numbering" w:customStyle="1" w:styleId="WWNum99">
    <w:name w:val="WWNum99"/>
    <w:basedOn w:val="NoList"/>
    <w:pPr>
      <w:numPr>
        <w:numId w:val="99"/>
      </w:numPr>
    </w:pPr>
  </w:style>
  <w:style w:type="numbering" w:customStyle="1" w:styleId="WWNum100">
    <w:name w:val="WWNum100"/>
    <w:basedOn w:val="NoList"/>
    <w:pPr>
      <w:numPr>
        <w:numId w:val="100"/>
      </w:numPr>
    </w:pPr>
  </w:style>
  <w:style w:type="numbering" w:customStyle="1" w:styleId="WWNum101">
    <w:name w:val="WWNum101"/>
    <w:basedOn w:val="NoList"/>
    <w:pPr>
      <w:numPr>
        <w:numId w:val="101"/>
      </w:numPr>
    </w:pPr>
  </w:style>
  <w:style w:type="numbering" w:customStyle="1" w:styleId="WWNum102">
    <w:name w:val="WWNum102"/>
    <w:basedOn w:val="NoList"/>
    <w:pPr>
      <w:numPr>
        <w:numId w:val="102"/>
      </w:numPr>
    </w:pPr>
  </w:style>
  <w:style w:type="numbering" w:customStyle="1" w:styleId="WWNum103">
    <w:name w:val="WWNum103"/>
    <w:basedOn w:val="NoList"/>
    <w:pPr>
      <w:numPr>
        <w:numId w:val="103"/>
      </w:numPr>
    </w:pPr>
  </w:style>
  <w:style w:type="numbering" w:customStyle="1" w:styleId="WWNum104">
    <w:name w:val="WWNum104"/>
    <w:basedOn w:val="NoList"/>
    <w:pPr>
      <w:numPr>
        <w:numId w:val="104"/>
      </w:numPr>
    </w:pPr>
  </w:style>
  <w:style w:type="numbering" w:customStyle="1" w:styleId="WWNum105">
    <w:name w:val="WWNum105"/>
    <w:basedOn w:val="NoList"/>
    <w:pPr>
      <w:numPr>
        <w:numId w:val="105"/>
      </w:numPr>
    </w:pPr>
  </w:style>
  <w:style w:type="numbering" w:customStyle="1" w:styleId="WWNum106">
    <w:name w:val="WWNum106"/>
    <w:basedOn w:val="NoList"/>
    <w:pPr>
      <w:numPr>
        <w:numId w:val="106"/>
      </w:numPr>
    </w:pPr>
  </w:style>
  <w:style w:type="numbering" w:customStyle="1" w:styleId="WWNum107">
    <w:name w:val="WWNum107"/>
    <w:basedOn w:val="NoList"/>
    <w:pPr>
      <w:numPr>
        <w:numId w:val="107"/>
      </w:numPr>
    </w:pPr>
  </w:style>
  <w:style w:type="numbering" w:customStyle="1" w:styleId="WWNum108">
    <w:name w:val="WWNum108"/>
    <w:basedOn w:val="NoList"/>
    <w:pPr>
      <w:numPr>
        <w:numId w:val="108"/>
      </w:numPr>
    </w:pPr>
  </w:style>
  <w:style w:type="numbering" w:customStyle="1" w:styleId="WWNum109">
    <w:name w:val="WWNum109"/>
    <w:basedOn w:val="NoList"/>
    <w:pPr>
      <w:numPr>
        <w:numId w:val="109"/>
      </w:numPr>
    </w:pPr>
  </w:style>
  <w:style w:type="numbering" w:customStyle="1" w:styleId="WWNum110">
    <w:name w:val="WWNum110"/>
    <w:basedOn w:val="NoList"/>
    <w:pPr>
      <w:numPr>
        <w:numId w:val="110"/>
      </w:numPr>
    </w:pPr>
  </w:style>
  <w:style w:type="numbering" w:customStyle="1" w:styleId="WWNum111">
    <w:name w:val="WWNum111"/>
    <w:basedOn w:val="NoList"/>
    <w:pPr>
      <w:numPr>
        <w:numId w:val="111"/>
      </w:numPr>
    </w:pPr>
  </w:style>
  <w:style w:type="numbering" w:customStyle="1" w:styleId="WWNum112">
    <w:name w:val="WWNum112"/>
    <w:basedOn w:val="NoList"/>
    <w:pPr>
      <w:numPr>
        <w:numId w:val="112"/>
      </w:numPr>
    </w:pPr>
  </w:style>
  <w:style w:type="numbering" w:customStyle="1" w:styleId="WWNum113">
    <w:name w:val="WWNum113"/>
    <w:basedOn w:val="NoList"/>
    <w:pPr>
      <w:numPr>
        <w:numId w:val="113"/>
      </w:numPr>
    </w:pPr>
  </w:style>
  <w:style w:type="numbering" w:customStyle="1" w:styleId="WWNum114">
    <w:name w:val="WWNum114"/>
    <w:basedOn w:val="NoList"/>
    <w:pPr>
      <w:numPr>
        <w:numId w:val="114"/>
      </w:numPr>
    </w:pPr>
  </w:style>
  <w:style w:type="numbering" w:customStyle="1" w:styleId="WWNum115">
    <w:name w:val="WWNum115"/>
    <w:basedOn w:val="NoList"/>
    <w:pPr>
      <w:numPr>
        <w:numId w:val="115"/>
      </w:numPr>
    </w:pPr>
  </w:style>
  <w:style w:type="numbering" w:customStyle="1" w:styleId="WWNum116">
    <w:name w:val="WWNum116"/>
    <w:basedOn w:val="NoList"/>
    <w:pPr>
      <w:numPr>
        <w:numId w:val="116"/>
      </w:numPr>
    </w:pPr>
  </w:style>
  <w:style w:type="numbering" w:customStyle="1" w:styleId="WWNum117">
    <w:name w:val="WWNum117"/>
    <w:basedOn w:val="NoList"/>
    <w:pPr>
      <w:numPr>
        <w:numId w:val="117"/>
      </w:numPr>
    </w:pPr>
  </w:style>
  <w:style w:type="numbering" w:customStyle="1" w:styleId="WWNum118">
    <w:name w:val="WWNum118"/>
    <w:basedOn w:val="NoList"/>
    <w:pPr>
      <w:numPr>
        <w:numId w:val="118"/>
      </w:numPr>
    </w:pPr>
  </w:style>
  <w:style w:type="numbering" w:customStyle="1" w:styleId="WWNum119">
    <w:name w:val="WWNum119"/>
    <w:basedOn w:val="NoList"/>
    <w:pPr>
      <w:numPr>
        <w:numId w:val="119"/>
      </w:numPr>
    </w:pPr>
  </w:style>
  <w:style w:type="numbering" w:customStyle="1" w:styleId="WWNum120">
    <w:name w:val="WWNum120"/>
    <w:basedOn w:val="NoList"/>
    <w:pPr>
      <w:numPr>
        <w:numId w:val="120"/>
      </w:numPr>
    </w:pPr>
  </w:style>
  <w:style w:type="numbering" w:customStyle="1" w:styleId="WWNum121">
    <w:name w:val="WWNum121"/>
    <w:basedOn w:val="NoList"/>
    <w:pPr>
      <w:numPr>
        <w:numId w:val="121"/>
      </w:numPr>
    </w:pPr>
  </w:style>
  <w:style w:type="numbering" w:customStyle="1" w:styleId="WWNum122">
    <w:name w:val="WWNum122"/>
    <w:basedOn w:val="NoList"/>
    <w:pPr>
      <w:numPr>
        <w:numId w:val="122"/>
      </w:numPr>
    </w:pPr>
  </w:style>
  <w:style w:type="numbering" w:customStyle="1" w:styleId="WWNum123">
    <w:name w:val="WWNum123"/>
    <w:basedOn w:val="NoList"/>
    <w:pPr>
      <w:numPr>
        <w:numId w:val="123"/>
      </w:numPr>
    </w:pPr>
  </w:style>
  <w:style w:type="numbering" w:customStyle="1" w:styleId="WWNum124">
    <w:name w:val="WWNum124"/>
    <w:basedOn w:val="NoList"/>
    <w:pPr>
      <w:numPr>
        <w:numId w:val="124"/>
      </w:numPr>
    </w:pPr>
  </w:style>
  <w:style w:type="numbering" w:customStyle="1" w:styleId="WWNum125">
    <w:name w:val="WWNum125"/>
    <w:basedOn w:val="NoList"/>
    <w:pPr>
      <w:numPr>
        <w:numId w:val="125"/>
      </w:numPr>
    </w:pPr>
  </w:style>
  <w:style w:type="numbering" w:customStyle="1" w:styleId="WWNum126">
    <w:name w:val="WWNum126"/>
    <w:basedOn w:val="NoList"/>
    <w:pPr>
      <w:numPr>
        <w:numId w:val="126"/>
      </w:numPr>
    </w:pPr>
  </w:style>
  <w:style w:type="numbering" w:customStyle="1" w:styleId="WWNum127">
    <w:name w:val="WWNum127"/>
    <w:basedOn w:val="NoList"/>
    <w:pPr>
      <w:numPr>
        <w:numId w:val="127"/>
      </w:numPr>
    </w:pPr>
  </w:style>
  <w:style w:type="numbering" w:customStyle="1" w:styleId="WWNum128">
    <w:name w:val="WWNum128"/>
    <w:basedOn w:val="NoList"/>
    <w:pPr>
      <w:numPr>
        <w:numId w:val="128"/>
      </w:numPr>
    </w:pPr>
  </w:style>
  <w:style w:type="numbering" w:customStyle="1" w:styleId="WWNum129">
    <w:name w:val="WWNum129"/>
    <w:basedOn w:val="NoList"/>
    <w:pPr>
      <w:numPr>
        <w:numId w:val="129"/>
      </w:numPr>
    </w:pPr>
  </w:style>
  <w:style w:type="numbering" w:customStyle="1" w:styleId="WWNum130">
    <w:name w:val="WWNum130"/>
    <w:basedOn w:val="NoList"/>
    <w:pPr>
      <w:numPr>
        <w:numId w:val="130"/>
      </w:numPr>
    </w:pPr>
  </w:style>
  <w:style w:type="numbering" w:customStyle="1" w:styleId="WWNum131">
    <w:name w:val="WWNum131"/>
    <w:basedOn w:val="NoList"/>
    <w:pPr>
      <w:numPr>
        <w:numId w:val="131"/>
      </w:numPr>
    </w:pPr>
  </w:style>
  <w:style w:type="numbering" w:customStyle="1" w:styleId="WWNum132">
    <w:name w:val="WWNum132"/>
    <w:basedOn w:val="NoList"/>
    <w:pPr>
      <w:numPr>
        <w:numId w:val="132"/>
      </w:numPr>
    </w:pPr>
  </w:style>
  <w:style w:type="numbering" w:customStyle="1" w:styleId="WWNum133">
    <w:name w:val="WWNum133"/>
    <w:basedOn w:val="NoList"/>
    <w:pPr>
      <w:numPr>
        <w:numId w:val="133"/>
      </w:numPr>
    </w:pPr>
  </w:style>
  <w:style w:type="numbering" w:customStyle="1" w:styleId="WWNum134">
    <w:name w:val="WWNum134"/>
    <w:basedOn w:val="NoList"/>
    <w:pPr>
      <w:numPr>
        <w:numId w:val="134"/>
      </w:numPr>
    </w:pPr>
  </w:style>
  <w:style w:type="numbering" w:customStyle="1" w:styleId="WWNum135">
    <w:name w:val="WWNum135"/>
    <w:basedOn w:val="NoList"/>
    <w:pPr>
      <w:numPr>
        <w:numId w:val="135"/>
      </w:numPr>
    </w:pPr>
  </w:style>
  <w:style w:type="numbering" w:customStyle="1" w:styleId="WWNum136">
    <w:name w:val="WWNum136"/>
    <w:basedOn w:val="NoList"/>
    <w:pPr>
      <w:numPr>
        <w:numId w:val="136"/>
      </w:numPr>
    </w:pPr>
  </w:style>
  <w:style w:type="numbering" w:customStyle="1" w:styleId="WWNum137">
    <w:name w:val="WWNum137"/>
    <w:basedOn w:val="NoList"/>
    <w:pPr>
      <w:numPr>
        <w:numId w:val="137"/>
      </w:numPr>
    </w:pPr>
  </w:style>
  <w:style w:type="numbering" w:customStyle="1" w:styleId="WWNum138">
    <w:name w:val="WWNum138"/>
    <w:basedOn w:val="NoList"/>
    <w:pPr>
      <w:numPr>
        <w:numId w:val="138"/>
      </w:numPr>
    </w:pPr>
  </w:style>
  <w:style w:type="numbering" w:customStyle="1" w:styleId="WWNum139">
    <w:name w:val="WWNum139"/>
    <w:basedOn w:val="NoList"/>
    <w:pPr>
      <w:numPr>
        <w:numId w:val="139"/>
      </w:numPr>
    </w:pPr>
  </w:style>
  <w:style w:type="numbering" w:customStyle="1" w:styleId="WWNum140">
    <w:name w:val="WWNum140"/>
    <w:basedOn w:val="NoList"/>
    <w:pPr>
      <w:numPr>
        <w:numId w:val="140"/>
      </w:numPr>
    </w:pPr>
  </w:style>
  <w:style w:type="numbering" w:customStyle="1" w:styleId="WWNum141">
    <w:name w:val="WWNum141"/>
    <w:basedOn w:val="NoList"/>
    <w:pPr>
      <w:numPr>
        <w:numId w:val="141"/>
      </w:numPr>
    </w:pPr>
  </w:style>
  <w:style w:type="numbering" w:customStyle="1" w:styleId="WWNum142">
    <w:name w:val="WWNum142"/>
    <w:basedOn w:val="NoList"/>
    <w:pPr>
      <w:numPr>
        <w:numId w:val="142"/>
      </w:numPr>
    </w:pPr>
  </w:style>
  <w:style w:type="numbering" w:customStyle="1" w:styleId="WWNum143">
    <w:name w:val="WWNum143"/>
    <w:basedOn w:val="NoList"/>
    <w:pPr>
      <w:numPr>
        <w:numId w:val="143"/>
      </w:numPr>
    </w:pPr>
  </w:style>
  <w:style w:type="numbering" w:customStyle="1" w:styleId="WWNum144">
    <w:name w:val="WWNum144"/>
    <w:basedOn w:val="NoList"/>
    <w:pPr>
      <w:numPr>
        <w:numId w:val="144"/>
      </w:numPr>
    </w:pPr>
  </w:style>
  <w:style w:type="numbering" w:customStyle="1" w:styleId="WWNum145">
    <w:name w:val="WWNum145"/>
    <w:basedOn w:val="NoList"/>
    <w:pPr>
      <w:numPr>
        <w:numId w:val="145"/>
      </w:numPr>
    </w:pPr>
  </w:style>
  <w:style w:type="numbering" w:customStyle="1" w:styleId="WWNum146">
    <w:name w:val="WWNum146"/>
    <w:basedOn w:val="NoList"/>
    <w:pPr>
      <w:numPr>
        <w:numId w:val="146"/>
      </w:numPr>
    </w:pPr>
  </w:style>
  <w:style w:type="numbering" w:customStyle="1" w:styleId="WWNum147">
    <w:name w:val="WWNum147"/>
    <w:basedOn w:val="NoList"/>
    <w:pPr>
      <w:numPr>
        <w:numId w:val="147"/>
      </w:numPr>
    </w:pPr>
  </w:style>
  <w:style w:type="numbering" w:customStyle="1" w:styleId="WWNum148">
    <w:name w:val="WWNum148"/>
    <w:basedOn w:val="NoList"/>
    <w:pPr>
      <w:numPr>
        <w:numId w:val="148"/>
      </w:numPr>
    </w:pPr>
  </w:style>
  <w:style w:type="numbering" w:customStyle="1" w:styleId="WWNum149">
    <w:name w:val="WWNum149"/>
    <w:basedOn w:val="NoList"/>
    <w:pPr>
      <w:numPr>
        <w:numId w:val="149"/>
      </w:numPr>
    </w:pPr>
  </w:style>
  <w:style w:type="numbering" w:customStyle="1" w:styleId="WWNum150">
    <w:name w:val="WWNum150"/>
    <w:basedOn w:val="NoList"/>
    <w:pPr>
      <w:numPr>
        <w:numId w:val="150"/>
      </w:numPr>
    </w:pPr>
  </w:style>
  <w:style w:type="numbering" w:customStyle="1" w:styleId="WWNum151">
    <w:name w:val="WWNum151"/>
    <w:basedOn w:val="NoList"/>
    <w:pPr>
      <w:numPr>
        <w:numId w:val="151"/>
      </w:numPr>
    </w:pPr>
  </w:style>
  <w:style w:type="numbering" w:customStyle="1" w:styleId="WWNum152">
    <w:name w:val="WWNum152"/>
    <w:basedOn w:val="NoList"/>
    <w:pPr>
      <w:numPr>
        <w:numId w:val="152"/>
      </w:numPr>
    </w:pPr>
  </w:style>
  <w:style w:type="numbering" w:customStyle="1" w:styleId="WWNum153">
    <w:name w:val="WWNum153"/>
    <w:basedOn w:val="NoList"/>
    <w:pPr>
      <w:numPr>
        <w:numId w:val="153"/>
      </w:numPr>
    </w:pPr>
  </w:style>
  <w:style w:type="numbering" w:customStyle="1" w:styleId="WWNum154">
    <w:name w:val="WWNum154"/>
    <w:basedOn w:val="NoList"/>
    <w:pPr>
      <w:numPr>
        <w:numId w:val="154"/>
      </w:numPr>
    </w:pPr>
  </w:style>
  <w:style w:type="numbering" w:customStyle="1" w:styleId="WWNum155">
    <w:name w:val="WWNum155"/>
    <w:basedOn w:val="NoList"/>
    <w:pPr>
      <w:numPr>
        <w:numId w:val="155"/>
      </w:numPr>
    </w:pPr>
  </w:style>
  <w:style w:type="numbering" w:customStyle="1" w:styleId="WWNum156">
    <w:name w:val="WWNum156"/>
    <w:basedOn w:val="NoList"/>
    <w:pPr>
      <w:numPr>
        <w:numId w:val="156"/>
      </w:numPr>
    </w:pPr>
  </w:style>
  <w:style w:type="numbering" w:customStyle="1" w:styleId="WWNum157">
    <w:name w:val="WWNum157"/>
    <w:basedOn w:val="NoList"/>
    <w:pPr>
      <w:numPr>
        <w:numId w:val="157"/>
      </w:numPr>
    </w:pPr>
  </w:style>
  <w:style w:type="numbering" w:customStyle="1" w:styleId="WWNum158">
    <w:name w:val="WWNum158"/>
    <w:basedOn w:val="NoList"/>
    <w:pPr>
      <w:numPr>
        <w:numId w:val="158"/>
      </w:numPr>
    </w:pPr>
  </w:style>
  <w:style w:type="numbering" w:customStyle="1" w:styleId="WWNum159">
    <w:name w:val="WWNum159"/>
    <w:basedOn w:val="NoList"/>
    <w:pPr>
      <w:numPr>
        <w:numId w:val="159"/>
      </w:numPr>
    </w:pPr>
  </w:style>
  <w:style w:type="numbering" w:customStyle="1" w:styleId="WWNum160">
    <w:name w:val="WWNum160"/>
    <w:basedOn w:val="NoList"/>
    <w:pPr>
      <w:numPr>
        <w:numId w:val="160"/>
      </w:numPr>
    </w:pPr>
  </w:style>
  <w:style w:type="numbering" w:customStyle="1" w:styleId="WWNum161">
    <w:name w:val="WWNum161"/>
    <w:basedOn w:val="NoList"/>
    <w:pPr>
      <w:numPr>
        <w:numId w:val="161"/>
      </w:numPr>
    </w:pPr>
  </w:style>
  <w:style w:type="numbering" w:customStyle="1" w:styleId="WWNum162">
    <w:name w:val="WWNum162"/>
    <w:basedOn w:val="NoList"/>
    <w:pPr>
      <w:numPr>
        <w:numId w:val="162"/>
      </w:numPr>
    </w:pPr>
  </w:style>
  <w:style w:type="numbering" w:customStyle="1" w:styleId="WWNum163">
    <w:name w:val="WWNum163"/>
    <w:basedOn w:val="NoList"/>
    <w:pPr>
      <w:numPr>
        <w:numId w:val="163"/>
      </w:numPr>
    </w:pPr>
  </w:style>
  <w:style w:type="numbering" w:customStyle="1" w:styleId="WWNum164">
    <w:name w:val="WWNum164"/>
    <w:basedOn w:val="NoList"/>
    <w:pPr>
      <w:numPr>
        <w:numId w:val="164"/>
      </w:numPr>
    </w:pPr>
  </w:style>
  <w:style w:type="numbering" w:customStyle="1" w:styleId="WWNum165">
    <w:name w:val="WWNum165"/>
    <w:basedOn w:val="NoList"/>
    <w:pPr>
      <w:numPr>
        <w:numId w:val="165"/>
      </w:numPr>
    </w:pPr>
  </w:style>
  <w:style w:type="numbering" w:customStyle="1" w:styleId="WWNum166">
    <w:name w:val="WWNum166"/>
    <w:basedOn w:val="NoList"/>
    <w:pPr>
      <w:numPr>
        <w:numId w:val="166"/>
      </w:numPr>
    </w:pPr>
  </w:style>
  <w:style w:type="numbering" w:customStyle="1" w:styleId="WWNum167">
    <w:name w:val="WWNum167"/>
    <w:basedOn w:val="NoList"/>
    <w:pPr>
      <w:numPr>
        <w:numId w:val="167"/>
      </w:numPr>
    </w:pPr>
  </w:style>
  <w:style w:type="numbering" w:customStyle="1" w:styleId="WWNum168">
    <w:name w:val="WWNum168"/>
    <w:basedOn w:val="NoList"/>
    <w:pPr>
      <w:numPr>
        <w:numId w:val="168"/>
      </w:numPr>
    </w:pPr>
  </w:style>
  <w:style w:type="numbering" w:customStyle="1" w:styleId="WWNum169">
    <w:name w:val="WWNum169"/>
    <w:basedOn w:val="NoList"/>
    <w:pPr>
      <w:numPr>
        <w:numId w:val="169"/>
      </w:numPr>
    </w:pPr>
  </w:style>
  <w:style w:type="numbering" w:customStyle="1" w:styleId="WWNum170">
    <w:name w:val="WWNum170"/>
    <w:basedOn w:val="NoList"/>
    <w:pPr>
      <w:numPr>
        <w:numId w:val="170"/>
      </w:numPr>
    </w:pPr>
  </w:style>
  <w:style w:type="numbering" w:customStyle="1" w:styleId="WWNum171">
    <w:name w:val="WWNum171"/>
    <w:basedOn w:val="NoList"/>
    <w:pPr>
      <w:numPr>
        <w:numId w:val="171"/>
      </w:numPr>
    </w:pPr>
  </w:style>
  <w:style w:type="numbering" w:customStyle="1" w:styleId="WWNum172">
    <w:name w:val="WWNum172"/>
    <w:basedOn w:val="NoList"/>
    <w:pPr>
      <w:numPr>
        <w:numId w:val="172"/>
      </w:numPr>
    </w:pPr>
  </w:style>
  <w:style w:type="numbering" w:customStyle="1" w:styleId="WWNum173">
    <w:name w:val="WWNum173"/>
    <w:basedOn w:val="NoList"/>
    <w:pPr>
      <w:numPr>
        <w:numId w:val="173"/>
      </w:numPr>
    </w:pPr>
  </w:style>
  <w:style w:type="numbering" w:customStyle="1" w:styleId="WWNum174">
    <w:name w:val="WWNum174"/>
    <w:basedOn w:val="NoList"/>
    <w:pPr>
      <w:numPr>
        <w:numId w:val="174"/>
      </w:numPr>
    </w:pPr>
  </w:style>
  <w:style w:type="numbering" w:customStyle="1" w:styleId="WWNum175">
    <w:name w:val="WWNum175"/>
    <w:basedOn w:val="NoList"/>
    <w:pPr>
      <w:numPr>
        <w:numId w:val="175"/>
      </w:numPr>
    </w:pPr>
  </w:style>
  <w:style w:type="numbering" w:customStyle="1" w:styleId="WWNum176">
    <w:name w:val="WWNum176"/>
    <w:basedOn w:val="NoList"/>
    <w:pPr>
      <w:numPr>
        <w:numId w:val="176"/>
      </w:numPr>
    </w:pPr>
  </w:style>
  <w:style w:type="numbering" w:customStyle="1" w:styleId="WWNum177">
    <w:name w:val="WWNum177"/>
    <w:basedOn w:val="NoList"/>
    <w:pPr>
      <w:numPr>
        <w:numId w:val="177"/>
      </w:numPr>
    </w:pPr>
  </w:style>
  <w:style w:type="numbering" w:customStyle="1" w:styleId="WWNum178">
    <w:name w:val="WWNum178"/>
    <w:basedOn w:val="NoList"/>
    <w:pPr>
      <w:numPr>
        <w:numId w:val="178"/>
      </w:numPr>
    </w:pPr>
  </w:style>
  <w:style w:type="numbering" w:customStyle="1" w:styleId="WWNum179">
    <w:name w:val="WWNum179"/>
    <w:basedOn w:val="NoList"/>
    <w:pPr>
      <w:numPr>
        <w:numId w:val="179"/>
      </w:numPr>
    </w:pPr>
  </w:style>
  <w:style w:type="numbering" w:customStyle="1" w:styleId="WWNum180">
    <w:name w:val="WWNum180"/>
    <w:basedOn w:val="NoList"/>
    <w:pPr>
      <w:numPr>
        <w:numId w:val="180"/>
      </w:numPr>
    </w:pPr>
  </w:style>
  <w:style w:type="numbering" w:customStyle="1" w:styleId="WWNum181">
    <w:name w:val="WWNum181"/>
    <w:basedOn w:val="NoList"/>
    <w:pPr>
      <w:numPr>
        <w:numId w:val="181"/>
      </w:numPr>
    </w:pPr>
  </w:style>
  <w:style w:type="numbering" w:customStyle="1" w:styleId="WWNum182">
    <w:name w:val="WWNum182"/>
    <w:basedOn w:val="NoList"/>
    <w:pPr>
      <w:numPr>
        <w:numId w:val="182"/>
      </w:numPr>
    </w:pPr>
  </w:style>
  <w:style w:type="numbering" w:customStyle="1" w:styleId="WWNum183">
    <w:name w:val="WWNum183"/>
    <w:basedOn w:val="NoList"/>
    <w:pPr>
      <w:numPr>
        <w:numId w:val="183"/>
      </w:numPr>
    </w:pPr>
  </w:style>
  <w:style w:type="numbering" w:customStyle="1" w:styleId="WWNum184">
    <w:name w:val="WWNum184"/>
    <w:basedOn w:val="NoList"/>
    <w:pPr>
      <w:numPr>
        <w:numId w:val="184"/>
      </w:numPr>
    </w:pPr>
  </w:style>
  <w:style w:type="numbering" w:customStyle="1" w:styleId="WWNum185">
    <w:name w:val="WWNum185"/>
    <w:basedOn w:val="NoList"/>
    <w:pPr>
      <w:numPr>
        <w:numId w:val="185"/>
      </w:numPr>
    </w:pPr>
  </w:style>
  <w:style w:type="numbering" w:customStyle="1" w:styleId="WWNum186">
    <w:name w:val="WWNum186"/>
    <w:basedOn w:val="NoList"/>
    <w:pPr>
      <w:numPr>
        <w:numId w:val="186"/>
      </w:numPr>
    </w:pPr>
  </w:style>
  <w:style w:type="numbering" w:customStyle="1" w:styleId="WWNum187">
    <w:name w:val="WWNum187"/>
    <w:basedOn w:val="NoList"/>
    <w:pPr>
      <w:numPr>
        <w:numId w:val="187"/>
      </w:numPr>
    </w:pPr>
  </w:style>
  <w:style w:type="numbering" w:customStyle="1" w:styleId="WWNum188">
    <w:name w:val="WWNum188"/>
    <w:basedOn w:val="NoList"/>
    <w:pPr>
      <w:numPr>
        <w:numId w:val="188"/>
      </w:numPr>
    </w:pPr>
  </w:style>
  <w:style w:type="numbering" w:customStyle="1" w:styleId="WWNum189">
    <w:name w:val="WWNum189"/>
    <w:basedOn w:val="NoList"/>
    <w:pPr>
      <w:numPr>
        <w:numId w:val="189"/>
      </w:numPr>
    </w:pPr>
  </w:style>
  <w:style w:type="numbering" w:customStyle="1" w:styleId="WWNum190">
    <w:name w:val="WWNum190"/>
    <w:basedOn w:val="NoList"/>
    <w:pPr>
      <w:numPr>
        <w:numId w:val="190"/>
      </w:numPr>
    </w:pPr>
  </w:style>
  <w:style w:type="numbering" w:customStyle="1" w:styleId="WWNum191">
    <w:name w:val="WWNum191"/>
    <w:basedOn w:val="NoList"/>
    <w:pPr>
      <w:numPr>
        <w:numId w:val="191"/>
      </w:numPr>
    </w:pPr>
  </w:style>
  <w:style w:type="numbering" w:customStyle="1" w:styleId="WWNum192">
    <w:name w:val="WWNum192"/>
    <w:basedOn w:val="NoList"/>
    <w:pPr>
      <w:numPr>
        <w:numId w:val="192"/>
      </w:numPr>
    </w:pPr>
  </w:style>
  <w:style w:type="numbering" w:customStyle="1" w:styleId="WWNum193">
    <w:name w:val="WWNum193"/>
    <w:basedOn w:val="NoList"/>
    <w:pPr>
      <w:numPr>
        <w:numId w:val="193"/>
      </w:numPr>
    </w:pPr>
  </w:style>
  <w:style w:type="numbering" w:customStyle="1" w:styleId="WWNum194">
    <w:name w:val="WWNum194"/>
    <w:basedOn w:val="NoList"/>
    <w:pPr>
      <w:numPr>
        <w:numId w:val="194"/>
      </w:numPr>
    </w:pPr>
  </w:style>
  <w:style w:type="numbering" w:customStyle="1" w:styleId="WWNum195">
    <w:name w:val="WWNum195"/>
    <w:basedOn w:val="NoList"/>
    <w:pPr>
      <w:numPr>
        <w:numId w:val="195"/>
      </w:numPr>
    </w:pPr>
  </w:style>
  <w:style w:type="numbering" w:customStyle="1" w:styleId="WWNum196">
    <w:name w:val="WWNum196"/>
    <w:basedOn w:val="NoList"/>
    <w:pPr>
      <w:numPr>
        <w:numId w:val="196"/>
      </w:numPr>
    </w:pPr>
  </w:style>
  <w:style w:type="numbering" w:customStyle="1" w:styleId="WWNum197">
    <w:name w:val="WWNum197"/>
    <w:basedOn w:val="NoList"/>
    <w:pPr>
      <w:numPr>
        <w:numId w:val="197"/>
      </w:numPr>
    </w:pPr>
  </w:style>
  <w:style w:type="numbering" w:customStyle="1" w:styleId="WWNum198">
    <w:name w:val="WWNum198"/>
    <w:basedOn w:val="NoList"/>
    <w:pPr>
      <w:numPr>
        <w:numId w:val="198"/>
      </w:numPr>
    </w:pPr>
  </w:style>
  <w:style w:type="numbering" w:customStyle="1" w:styleId="WWNum199">
    <w:name w:val="WWNum199"/>
    <w:basedOn w:val="NoList"/>
    <w:pPr>
      <w:numPr>
        <w:numId w:val="199"/>
      </w:numPr>
    </w:pPr>
  </w:style>
  <w:style w:type="numbering" w:customStyle="1" w:styleId="WWNum200">
    <w:name w:val="WWNum200"/>
    <w:basedOn w:val="NoList"/>
    <w:pPr>
      <w:numPr>
        <w:numId w:val="200"/>
      </w:numPr>
    </w:pPr>
  </w:style>
  <w:style w:type="numbering" w:customStyle="1" w:styleId="WWNum201">
    <w:name w:val="WWNum201"/>
    <w:basedOn w:val="NoList"/>
    <w:pPr>
      <w:numPr>
        <w:numId w:val="201"/>
      </w:numPr>
    </w:pPr>
  </w:style>
  <w:style w:type="numbering" w:customStyle="1" w:styleId="WWNum202">
    <w:name w:val="WWNum202"/>
    <w:basedOn w:val="NoList"/>
    <w:pPr>
      <w:numPr>
        <w:numId w:val="202"/>
      </w:numPr>
    </w:pPr>
  </w:style>
  <w:style w:type="numbering" w:customStyle="1" w:styleId="WWNum203">
    <w:name w:val="WWNum203"/>
    <w:basedOn w:val="NoList"/>
    <w:pPr>
      <w:numPr>
        <w:numId w:val="203"/>
      </w:numPr>
    </w:pPr>
  </w:style>
  <w:style w:type="numbering" w:customStyle="1" w:styleId="WWNum204">
    <w:name w:val="WWNum204"/>
    <w:basedOn w:val="NoList"/>
    <w:pPr>
      <w:numPr>
        <w:numId w:val="204"/>
      </w:numPr>
    </w:pPr>
  </w:style>
  <w:style w:type="numbering" w:customStyle="1" w:styleId="WWNum205">
    <w:name w:val="WWNum205"/>
    <w:basedOn w:val="NoList"/>
    <w:pPr>
      <w:numPr>
        <w:numId w:val="205"/>
      </w:numPr>
    </w:pPr>
  </w:style>
  <w:style w:type="numbering" w:customStyle="1" w:styleId="WWNum206">
    <w:name w:val="WWNum206"/>
    <w:basedOn w:val="NoList"/>
    <w:pPr>
      <w:numPr>
        <w:numId w:val="206"/>
      </w:numPr>
    </w:pPr>
  </w:style>
  <w:style w:type="numbering" w:customStyle="1" w:styleId="WWNum207">
    <w:name w:val="WWNum207"/>
    <w:basedOn w:val="NoList"/>
    <w:pPr>
      <w:numPr>
        <w:numId w:val="207"/>
      </w:numPr>
    </w:pPr>
  </w:style>
  <w:style w:type="numbering" w:customStyle="1" w:styleId="WWNum208">
    <w:name w:val="WWNum208"/>
    <w:basedOn w:val="NoList"/>
    <w:pPr>
      <w:numPr>
        <w:numId w:val="208"/>
      </w:numPr>
    </w:pPr>
  </w:style>
  <w:style w:type="numbering" w:customStyle="1" w:styleId="WWNum209">
    <w:name w:val="WWNum209"/>
    <w:basedOn w:val="NoList"/>
    <w:pPr>
      <w:numPr>
        <w:numId w:val="209"/>
      </w:numPr>
    </w:pPr>
  </w:style>
  <w:style w:type="numbering" w:customStyle="1" w:styleId="WWNum210">
    <w:name w:val="WWNum210"/>
    <w:basedOn w:val="NoList"/>
    <w:pPr>
      <w:numPr>
        <w:numId w:val="210"/>
      </w:numPr>
    </w:pPr>
  </w:style>
  <w:style w:type="numbering" w:customStyle="1" w:styleId="WWNum211">
    <w:name w:val="WWNum211"/>
    <w:basedOn w:val="NoList"/>
    <w:pPr>
      <w:numPr>
        <w:numId w:val="211"/>
      </w:numPr>
    </w:pPr>
  </w:style>
  <w:style w:type="numbering" w:customStyle="1" w:styleId="WWNum212">
    <w:name w:val="WWNum212"/>
    <w:basedOn w:val="NoList"/>
    <w:pPr>
      <w:numPr>
        <w:numId w:val="212"/>
      </w:numPr>
    </w:pPr>
  </w:style>
  <w:style w:type="numbering" w:customStyle="1" w:styleId="WWNum213">
    <w:name w:val="WWNum213"/>
    <w:basedOn w:val="NoList"/>
    <w:pPr>
      <w:numPr>
        <w:numId w:val="213"/>
      </w:numPr>
    </w:pPr>
  </w:style>
  <w:style w:type="numbering" w:customStyle="1" w:styleId="WWNum214">
    <w:name w:val="WWNum214"/>
    <w:basedOn w:val="NoList"/>
    <w:pPr>
      <w:numPr>
        <w:numId w:val="214"/>
      </w:numPr>
    </w:pPr>
  </w:style>
  <w:style w:type="numbering" w:customStyle="1" w:styleId="WWNum215">
    <w:name w:val="WWNum215"/>
    <w:basedOn w:val="NoList"/>
    <w:pPr>
      <w:numPr>
        <w:numId w:val="215"/>
      </w:numPr>
    </w:pPr>
  </w:style>
  <w:style w:type="numbering" w:customStyle="1" w:styleId="WWNum216">
    <w:name w:val="WWNum216"/>
    <w:basedOn w:val="NoList"/>
    <w:pPr>
      <w:numPr>
        <w:numId w:val="216"/>
      </w:numPr>
    </w:pPr>
  </w:style>
  <w:style w:type="numbering" w:customStyle="1" w:styleId="WWNum217">
    <w:name w:val="WWNum217"/>
    <w:basedOn w:val="NoList"/>
    <w:pPr>
      <w:numPr>
        <w:numId w:val="217"/>
      </w:numPr>
    </w:pPr>
  </w:style>
  <w:style w:type="numbering" w:customStyle="1" w:styleId="WWNum218">
    <w:name w:val="WWNum218"/>
    <w:basedOn w:val="NoList"/>
    <w:pPr>
      <w:numPr>
        <w:numId w:val="218"/>
      </w:numPr>
    </w:pPr>
  </w:style>
  <w:style w:type="numbering" w:customStyle="1" w:styleId="WWNum219">
    <w:name w:val="WWNum219"/>
    <w:basedOn w:val="NoList"/>
    <w:pPr>
      <w:numPr>
        <w:numId w:val="219"/>
      </w:numPr>
    </w:pPr>
  </w:style>
  <w:style w:type="numbering" w:customStyle="1" w:styleId="WWNum220">
    <w:name w:val="WWNum220"/>
    <w:basedOn w:val="NoList"/>
    <w:pPr>
      <w:numPr>
        <w:numId w:val="220"/>
      </w:numPr>
    </w:pPr>
  </w:style>
  <w:style w:type="numbering" w:customStyle="1" w:styleId="WWNum221">
    <w:name w:val="WWNum221"/>
    <w:basedOn w:val="NoList"/>
    <w:pPr>
      <w:numPr>
        <w:numId w:val="221"/>
      </w:numPr>
    </w:pPr>
  </w:style>
  <w:style w:type="numbering" w:customStyle="1" w:styleId="WWNum222">
    <w:name w:val="WWNum222"/>
    <w:basedOn w:val="NoList"/>
    <w:pPr>
      <w:numPr>
        <w:numId w:val="222"/>
      </w:numPr>
    </w:pPr>
  </w:style>
  <w:style w:type="numbering" w:customStyle="1" w:styleId="WWNum223">
    <w:name w:val="WWNum223"/>
    <w:basedOn w:val="NoList"/>
    <w:pPr>
      <w:numPr>
        <w:numId w:val="223"/>
      </w:numPr>
    </w:pPr>
  </w:style>
  <w:style w:type="numbering" w:customStyle="1" w:styleId="WWNum224">
    <w:name w:val="WWNum224"/>
    <w:basedOn w:val="NoList"/>
    <w:pPr>
      <w:numPr>
        <w:numId w:val="224"/>
      </w:numPr>
    </w:pPr>
  </w:style>
  <w:style w:type="numbering" w:customStyle="1" w:styleId="WWNum225">
    <w:name w:val="WWNum225"/>
    <w:basedOn w:val="NoList"/>
    <w:pPr>
      <w:numPr>
        <w:numId w:val="225"/>
      </w:numPr>
    </w:pPr>
  </w:style>
  <w:style w:type="numbering" w:customStyle="1" w:styleId="WWNum226">
    <w:name w:val="WWNum226"/>
    <w:basedOn w:val="NoList"/>
    <w:pPr>
      <w:numPr>
        <w:numId w:val="226"/>
      </w:numPr>
    </w:pPr>
  </w:style>
  <w:style w:type="numbering" w:customStyle="1" w:styleId="WWNum227">
    <w:name w:val="WWNum227"/>
    <w:basedOn w:val="NoList"/>
    <w:pPr>
      <w:numPr>
        <w:numId w:val="227"/>
      </w:numPr>
    </w:pPr>
  </w:style>
  <w:style w:type="numbering" w:customStyle="1" w:styleId="WWNum228">
    <w:name w:val="WWNum228"/>
    <w:basedOn w:val="NoList"/>
    <w:pPr>
      <w:numPr>
        <w:numId w:val="228"/>
      </w:numPr>
    </w:pPr>
  </w:style>
  <w:style w:type="numbering" w:customStyle="1" w:styleId="WWNum229">
    <w:name w:val="WWNum229"/>
    <w:basedOn w:val="NoList"/>
    <w:pPr>
      <w:numPr>
        <w:numId w:val="229"/>
      </w:numPr>
    </w:pPr>
  </w:style>
  <w:style w:type="numbering" w:customStyle="1" w:styleId="WWNum230">
    <w:name w:val="WWNum230"/>
    <w:basedOn w:val="NoList"/>
    <w:pPr>
      <w:numPr>
        <w:numId w:val="230"/>
      </w:numPr>
    </w:pPr>
  </w:style>
  <w:style w:type="numbering" w:customStyle="1" w:styleId="WWNum231">
    <w:name w:val="WWNum231"/>
    <w:basedOn w:val="NoList"/>
    <w:pPr>
      <w:numPr>
        <w:numId w:val="231"/>
      </w:numPr>
    </w:pPr>
  </w:style>
  <w:style w:type="numbering" w:customStyle="1" w:styleId="WWNum232">
    <w:name w:val="WWNum232"/>
    <w:basedOn w:val="NoList"/>
    <w:pPr>
      <w:numPr>
        <w:numId w:val="232"/>
      </w:numPr>
    </w:pPr>
  </w:style>
  <w:style w:type="numbering" w:customStyle="1" w:styleId="WWNum233">
    <w:name w:val="WWNum233"/>
    <w:basedOn w:val="NoList"/>
    <w:pPr>
      <w:numPr>
        <w:numId w:val="233"/>
      </w:numPr>
    </w:pPr>
  </w:style>
  <w:style w:type="numbering" w:customStyle="1" w:styleId="WWNum234">
    <w:name w:val="WWNum234"/>
    <w:basedOn w:val="NoList"/>
    <w:pPr>
      <w:numPr>
        <w:numId w:val="234"/>
      </w:numPr>
    </w:pPr>
  </w:style>
  <w:style w:type="numbering" w:customStyle="1" w:styleId="WWNum235">
    <w:name w:val="WWNum235"/>
    <w:basedOn w:val="NoList"/>
    <w:pPr>
      <w:numPr>
        <w:numId w:val="235"/>
      </w:numPr>
    </w:pPr>
  </w:style>
  <w:style w:type="numbering" w:customStyle="1" w:styleId="WWNum236">
    <w:name w:val="WWNum236"/>
    <w:basedOn w:val="NoList"/>
    <w:pPr>
      <w:numPr>
        <w:numId w:val="236"/>
      </w:numPr>
    </w:pPr>
  </w:style>
  <w:style w:type="numbering" w:customStyle="1" w:styleId="WWNum237">
    <w:name w:val="WWNum237"/>
    <w:basedOn w:val="NoList"/>
    <w:pPr>
      <w:numPr>
        <w:numId w:val="237"/>
      </w:numPr>
    </w:pPr>
  </w:style>
  <w:style w:type="numbering" w:customStyle="1" w:styleId="WWNum238">
    <w:name w:val="WWNum238"/>
    <w:basedOn w:val="NoList"/>
    <w:pPr>
      <w:numPr>
        <w:numId w:val="238"/>
      </w:numPr>
    </w:pPr>
  </w:style>
  <w:style w:type="numbering" w:customStyle="1" w:styleId="WWNum239">
    <w:name w:val="WWNum239"/>
    <w:basedOn w:val="NoList"/>
    <w:pPr>
      <w:numPr>
        <w:numId w:val="239"/>
      </w:numPr>
    </w:pPr>
  </w:style>
  <w:style w:type="numbering" w:customStyle="1" w:styleId="WWNum240">
    <w:name w:val="WWNum240"/>
    <w:basedOn w:val="NoList"/>
    <w:pPr>
      <w:numPr>
        <w:numId w:val="240"/>
      </w:numPr>
    </w:pPr>
  </w:style>
  <w:style w:type="numbering" w:customStyle="1" w:styleId="WWNum241">
    <w:name w:val="WWNum241"/>
    <w:basedOn w:val="NoList"/>
    <w:pPr>
      <w:numPr>
        <w:numId w:val="241"/>
      </w:numPr>
    </w:pPr>
  </w:style>
  <w:style w:type="numbering" w:customStyle="1" w:styleId="WWNum242">
    <w:name w:val="WWNum242"/>
    <w:basedOn w:val="NoList"/>
    <w:pPr>
      <w:numPr>
        <w:numId w:val="242"/>
      </w:numPr>
    </w:pPr>
  </w:style>
  <w:style w:type="numbering" w:customStyle="1" w:styleId="WWNum243">
    <w:name w:val="WWNum243"/>
    <w:basedOn w:val="NoList"/>
    <w:pPr>
      <w:numPr>
        <w:numId w:val="243"/>
      </w:numPr>
    </w:pPr>
  </w:style>
  <w:style w:type="numbering" w:customStyle="1" w:styleId="WWNum244">
    <w:name w:val="WWNum244"/>
    <w:basedOn w:val="NoList"/>
    <w:pPr>
      <w:numPr>
        <w:numId w:val="244"/>
      </w:numPr>
    </w:pPr>
  </w:style>
  <w:style w:type="numbering" w:customStyle="1" w:styleId="WWNum245">
    <w:name w:val="WWNum245"/>
    <w:basedOn w:val="NoList"/>
    <w:pPr>
      <w:numPr>
        <w:numId w:val="245"/>
      </w:numPr>
    </w:pPr>
  </w:style>
  <w:style w:type="numbering" w:customStyle="1" w:styleId="WWNum246">
    <w:name w:val="WWNum246"/>
    <w:basedOn w:val="NoList"/>
    <w:pPr>
      <w:numPr>
        <w:numId w:val="246"/>
      </w:numPr>
    </w:pPr>
  </w:style>
  <w:style w:type="numbering" w:customStyle="1" w:styleId="WWNum247">
    <w:name w:val="WWNum247"/>
    <w:basedOn w:val="NoList"/>
    <w:pPr>
      <w:numPr>
        <w:numId w:val="247"/>
      </w:numPr>
    </w:pPr>
  </w:style>
  <w:style w:type="numbering" w:customStyle="1" w:styleId="WWNum248">
    <w:name w:val="WWNum248"/>
    <w:basedOn w:val="NoList"/>
    <w:pPr>
      <w:numPr>
        <w:numId w:val="248"/>
      </w:numPr>
    </w:pPr>
  </w:style>
  <w:style w:type="numbering" w:customStyle="1" w:styleId="WWNum249">
    <w:name w:val="WWNum249"/>
    <w:basedOn w:val="NoList"/>
    <w:pPr>
      <w:numPr>
        <w:numId w:val="249"/>
      </w:numPr>
    </w:pPr>
  </w:style>
  <w:style w:type="numbering" w:customStyle="1" w:styleId="WWNum250">
    <w:name w:val="WWNum250"/>
    <w:basedOn w:val="NoList"/>
    <w:pPr>
      <w:numPr>
        <w:numId w:val="250"/>
      </w:numPr>
    </w:pPr>
  </w:style>
  <w:style w:type="numbering" w:customStyle="1" w:styleId="WWNum251">
    <w:name w:val="WWNum251"/>
    <w:basedOn w:val="NoList"/>
    <w:pPr>
      <w:numPr>
        <w:numId w:val="251"/>
      </w:numPr>
    </w:pPr>
  </w:style>
  <w:style w:type="numbering" w:customStyle="1" w:styleId="WWNum252">
    <w:name w:val="WWNum252"/>
    <w:basedOn w:val="NoList"/>
    <w:pPr>
      <w:numPr>
        <w:numId w:val="252"/>
      </w:numPr>
    </w:pPr>
  </w:style>
  <w:style w:type="numbering" w:customStyle="1" w:styleId="WWNum253">
    <w:name w:val="WWNum253"/>
    <w:basedOn w:val="NoList"/>
    <w:pPr>
      <w:numPr>
        <w:numId w:val="253"/>
      </w:numPr>
    </w:pPr>
  </w:style>
  <w:style w:type="numbering" w:customStyle="1" w:styleId="WWNum254">
    <w:name w:val="WWNum254"/>
    <w:basedOn w:val="NoList"/>
    <w:pPr>
      <w:numPr>
        <w:numId w:val="254"/>
      </w:numPr>
    </w:pPr>
  </w:style>
  <w:style w:type="numbering" w:customStyle="1" w:styleId="WWNum255">
    <w:name w:val="WWNum255"/>
    <w:basedOn w:val="NoList"/>
    <w:pPr>
      <w:numPr>
        <w:numId w:val="255"/>
      </w:numPr>
    </w:pPr>
  </w:style>
  <w:style w:type="numbering" w:customStyle="1" w:styleId="WWNum256">
    <w:name w:val="WWNum256"/>
    <w:basedOn w:val="NoList"/>
    <w:pPr>
      <w:numPr>
        <w:numId w:val="256"/>
      </w:numPr>
    </w:pPr>
  </w:style>
  <w:style w:type="numbering" w:customStyle="1" w:styleId="WWNum257">
    <w:name w:val="WWNum257"/>
    <w:basedOn w:val="NoList"/>
    <w:pPr>
      <w:numPr>
        <w:numId w:val="257"/>
      </w:numPr>
    </w:pPr>
  </w:style>
  <w:style w:type="numbering" w:customStyle="1" w:styleId="WWNum258">
    <w:name w:val="WWNum258"/>
    <w:basedOn w:val="NoList"/>
    <w:pPr>
      <w:numPr>
        <w:numId w:val="258"/>
      </w:numPr>
    </w:pPr>
  </w:style>
  <w:style w:type="numbering" w:customStyle="1" w:styleId="WWNum259">
    <w:name w:val="WWNum259"/>
    <w:basedOn w:val="NoList"/>
    <w:pPr>
      <w:numPr>
        <w:numId w:val="259"/>
      </w:numPr>
    </w:pPr>
  </w:style>
  <w:style w:type="numbering" w:customStyle="1" w:styleId="WWNum260">
    <w:name w:val="WWNum260"/>
    <w:basedOn w:val="NoList"/>
    <w:pPr>
      <w:numPr>
        <w:numId w:val="260"/>
      </w:numPr>
    </w:pPr>
  </w:style>
  <w:style w:type="numbering" w:customStyle="1" w:styleId="WWNum261">
    <w:name w:val="WWNum261"/>
    <w:basedOn w:val="NoList"/>
    <w:pPr>
      <w:numPr>
        <w:numId w:val="261"/>
      </w:numPr>
    </w:pPr>
  </w:style>
  <w:style w:type="numbering" w:customStyle="1" w:styleId="WWNum262">
    <w:name w:val="WWNum262"/>
    <w:basedOn w:val="NoList"/>
    <w:pPr>
      <w:numPr>
        <w:numId w:val="262"/>
      </w:numPr>
    </w:pPr>
  </w:style>
  <w:style w:type="numbering" w:customStyle="1" w:styleId="WWNum263">
    <w:name w:val="WWNum263"/>
    <w:basedOn w:val="NoList"/>
    <w:pPr>
      <w:numPr>
        <w:numId w:val="263"/>
      </w:numPr>
    </w:pPr>
  </w:style>
  <w:style w:type="numbering" w:customStyle="1" w:styleId="WWNum264">
    <w:name w:val="WWNum264"/>
    <w:basedOn w:val="NoList"/>
    <w:pPr>
      <w:numPr>
        <w:numId w:val="264"/>
      </w:numPr>
    </w:pPr>
  </w:style>
  <w:style w:type="numbering" w:customStyle="1" w:styleId="WWNum265">
    <w:name w:val="WWNum265"/>
    <w:basedOn w:val="NoList"/>
    <w:pPr>
      <w:numPr>
        <w:numId w:val="265"/>
      </w:numPr>
    </w:pPr>
  </w:style>
  <w:style w:type="numbering" w:customStyle="1" w:styleId="WWNum266">
    <w:name w:val="WWNum266"/>
    <w:basedOn w:val="NoList"/>
    <w:pPr>
      <w:numPr>
        <w:numId w:val="266"/>
      </w:numPr>
    </w:pPr>
  </w:style>
  <w:style w:type="numbering" w:customStyle="1" w:styleId="WWNum267">
    <w:name w:val="WWNum267"/>
    <w:basedOn w:val="NoList"/>
    <w:pPr>
      <w:numPr>
        <w:numId w:val="267"/>
      </w:numPr>
    </w:pPr>
  </w:style>
  <w:style w:type="numbering" w:customStyle="1" w:styleId="WWNum268">
    <w:name w:val="WWNum268"/>
    <w:basedOn w:val="NoList"/>
    <w:pPr>
      <w:numPr>
        <w:numId w:val="268"/>
      </w:numPr>
    </w:pPr>
  </w:style>
  <w:style w:type="numbering" w:customStyle="1" w:styleId="WWNum269">
    <w:name w:val="WWNum269"/>
    <w:basedOn w:val="NoList"/>
    <w:pPr>
      <w:numPr>
        <w:numId w:val="269"/>
      </w:numPr>
    </w:pPr>
  </w:style>
  <w:style w:type="numbering" w:customStyle="1" w:styleId="WWNum270">
    <w:name w:val="WWNum270"/>
    <w:basedOn w:val="NoList"/>
    <w:pPr>
      <w:numPr>
        <w:numId w:val="270"/>
      </w:numPr>
    </w:pPr>
  </w:style>
  <w:style w:type="numbering" w:customStyle="1" w:styleId="WWNum271">
    <w:name w:val="WWNum271"/>
    <w:basedOn w:val="NoList"/>
    <w:pPr>
      <w:numPr>
        <w:numId w:val="271"/>
      </w:numPr>
    </w:pPr>
  </w:style>
  <w:style w:type="numbering" w:customStyle="1" w:styleId="WWNum272">
    <w:name w:val="WWNum272"/>
    <w:basedOn w:val="NoList"/>
    <w:pPr>
      <w:numPr>
        <w:numId w:val="272"/>
      </w:numPr>
    </w:pPr>
  </w:style>
  <w:style w:type="numbering" w:customStyle="1" w:styleId="WWNum273">
    <w:name w:val="WWNum273"/>
    <w:basedOn w:val="NoList"/>
    <w:pPr>
      <w:numPr>
        <w:numId w:val="273"/>
      </w:numPr>
    </w:pPr>
  </w:style>
  <w:style w:type="numbering" w:customStyle="1" w:styleId="WWNum274">
    <w:name w:val="WWNum274"/>
    <w:basedOn w:val="NoList"/>
    <w:pPr>
      <w:numPr>
        <w:numId w:val="274"/>
      </w:numPr>
    </w:pPr>
  </w:style>
  <w:style w:type="numbering" w:customStyle="1" w:styleId="WWNum275">
    <w:name w:val="WWNum275"/>
    <w:basedOn w:val="NoList"/>
    <w:pPr>
      <w:numPr>
        <w:numId w:val="275"/>
      </w:numPr>
    </w:pPr>
  </w:style>
  <w:style w:type="numbering" w:customStyle="1" w:styleId="WWNum276">
    <w:name w:val="WWNum276"/>
    <w:basedOn w:val="NoList"/>
    <w:pPr>
      <w:numPr>
        <w:numId w:val="276"/>
      </w:numPr>
    </w:pPr>
  </w:style>
  <w:style w:type="numbering" w:customStyle="1" w:styleId="WWNum277">
    <w:name w:val="WWNum277"/>
    <w:basedOn w:val="NoList"/>
    <w:pPr>
      <w:numPr>
        <w:numId w:val="277"/>
      </w:numPr>
    </w:pPr>
  </w:style>
  <w:style w:type="numbering" w:customStyle="1" w:styleId="WWNum278">
    <w:name w:val="WWNum278"/>
    <w:basedOn w:val="NoList"/>
    <w:pPr>
      <w:numPr>
        <w:numId w:val="278"/>
      </w:numPr>
    </w:pPr>
  </w:style>
  <w:style w:type="numbering" w:customStyle="1" w:styleId="WWNum279">
    <w:name w:val="WWNum279"/>
    <w:basedOn w:val="NoList"/>
    <w:pPr>
      <w:numPr>
        <w:numId w:val="279"/>
      </w:numPr>
    </w:pPr>
  </w:style>
  <w:style w:type="numbering" w:customStyle="1" w:styleId="WWNum280">
    <w:name w:val="WWNum280"/>
    <w:basedOn w:val="NoList"/>
    <w:pPr>
      <w:numPr>
        <w:numId w:val="280"/>
      </w:numPr>
    </w:pPr>
  </w:style>
  <w:style w:type="numbering" w:customStyle="1" w:styleId="WWNum281">
    <w:name w:val="WWNum281"/>
    <w:basedOn w:val="NoList"/>
    <w:pPr>
      <w:numPr>
        <w:numId w:val="281"/>
      </w:numPr>
    </w:pPr>
  </w:style>
  <w:style w:type="numbering" w:customStyle="1" w:styleId="WWNum282">
    <w:name w:val="WWNum282"/>
    <w:basedOn w:val="NoList"/>
    <w:pPr>
      <w:numPr>
        <w:numId w:val="282"/>
      </w:numPr>
    </w:pPr>
  </w:style>
  <w:style w:type="numbering" w:customStyle="1" w:styleId="WWNum283">
    <w:name w:val="WWNum283"/>
    <w:basedOn w:val="NoList"/>
    <w:pPr>
      <w:numPr>
        <w:numId w:val="283"/>
      </w:numPr>
    </w:pPr>
  </w:style>
  <w:style w:type="numbering" w:customStyle="1" w:styleId="WWNum284">
    <w:name w:val="WWNum284"/>
    <w:basedOn w:val="NoList"/>
    <w:pPr>
      <w:numPr>
        <w:numId w:val="284"/>
      </w:numPr>
    </w:pPr>
  </w:style>
  <w:style w:type="numbering" w:customStyle="1" w:styleId="WWNum285">
    <w:name w:val="WWNum285"/>
    <w:basedOn w:val="NoList"/>
    <w:pPr>
      <w:numPr>
        <w:numId w:val="285"/>
      </w:numPr>
    </w:pPr>
  </w:style>
  <w:style w:type="numbering" w:customStyle="1" w:styleId="WWNum286">
    <w:name w:val="WWNum286"/>
    <w:basedOn w:val="NoList"/>
    <w:pPr>
      <w:numPr>
        <w:numId w:val="286"/>
      </w:numPr>
    </w:pPr>
  </w:style>
  <w:style w:type="numbering" w:customStyle="1" w:styleId="WWNum287">
    <w:name w:val="WWNum287"/>
    <w:basedOn w:val="NoList"/>
    <w:pPr>
      <w:numPr>
        <w:numId w:val="287"/>
      </w:numPr>
    </w:pPr>
  </w:style>
  <w:style w:type="numbering" w:customStyle="1" w:styleId="WWNum288">
    <w:name w:val="WWNum288"/>
    <w:basedOn w:val="NoList"/>
    <w:pPr>
      <w:numPr>
        <w:numId w:val="288"/>
      </w:numPr>
    </w:pPr>
  </w:style>
  <w:style w:type="numbering" w:customStyle="1" w:styleId="WWNum289">
    <w:name w:val="WWNum289"/>
    <w:basedOn w:val="NoList"/>
    <w:pPr>
      <w:numPr>
        <w:numId w:val="289"/>
      </w:numPr>
    </w:pPr>
  </w:style>
  <w:style w:type="numbering" w:customStyle="1" w:styleId="WWNum290">
    <w:name w:val="WWNum290"/>
    <w:basedOn w:val="NoList"/>
    <w:pPr>
      <w:numPr>
        <w:numId w:val="290"/>
      </w:numPr>
    </w:pPr>
  </w:style>
  <w:style w:type="numbering" w:customStyle="1" w:styleId="WWNum291">
    <w:name w:val="WWNum291"/>
    <w:basedOn w:val="NoList"/>
    <w:pPr>
      <w:numPr>
        <w:numId w:val="291"/>
      </w:numPr>
    </w:pPr>
  </w:style>
  <w:style w:type="numbering" w:customStyle="1" w:styleId="WWNum292">
    <w:name w:val="WWNum292"/>
    <w:basedOn w:val="NoList"/>
    <w:pPr>
      <w:numPr>
        <w:numId w:val="292"/>
      </w:numPr>
    </w:pPr>
  </w:style>
  <w:style w:type="numbering" w:customStyle="1" w:styleId="WWNum293">
    <w:name w:val="WWNum293"/>
    <w:basedOn w:val="NoList"/>
    <w:pPr>
      <w:numPr>
        <w:numId w:val="293"/>
      </w:numPr>
    </w:pPr>
  </w:style>
  <w:style w:type="numbering" w:customStyle="1" w:styleId="WWNum294">
    <w:name w:val="WWNum294"/>
    <w:basedOn w:val="NoList"/>
    <w:pPr>
      <w:numPr>
        <w:numId w:val="294"/>
      </w:numPr>
    </w:pPr>
  </w:style>
  <w:style w:type="numbering" w:customStyle="1" w:styleId="WWNum295">
    <w:name w:val="WWNum295"/>
    <w:basedOn w:val="NoList"/>
    <w:pPr>
      <w:numPr>
        <w:numId w:val="295"/>
      </w:numPr>
    </w:pPr>
  </w:style>
  <w:style w:type="numbering" w:customStyle="1" w:styleId="WWNum296">
    <w:name w:val="WWNum296"/>
    <w:basedOn w:val="NoList"/>
    <w:pPr>
      <w:numPr>
        <w:numId w:val="296"/>
      </w:numPr>
    </w:pPr>
  </w:style>
  <w:style w:type="numbering" w:customStyle="1" w:styleId="WWNum297">
    <w:name w:val="WWNum297"/>
    <w:basedOn w:val="NoList"/>
    <w:pPr>
      <w:numPr>
        <w:numId w:val="297"/>
      </w:numPr>
    </w:pPr>
  </w:style>
  <w:style w:type="numbering" w:customStyle="1" w:styleId="WWNum298">
    <w:name w:val="WWNum298"/>
    <w:basedOn w:val="NoList"/>
    <w:pPr>
      <w:numPr>
        <w:numId w:val="298"/>
      </w:numPr>
    </w:pPr>
  </w:style>
  <w:style w:type="numbering" w:customStyle="1" w:styleId="WWNum299">
    <w:name w:val="WWNum299"/>
    <w:basedOn w:val="NoList"/>
    <w:pPr>
      <w:numPr>
        <w:numId w:val="299"/>
      </w:numPr>
    </w:pPr>
  </w:style>
  <w:style w:type="numbering" w:customStyle="1" w:styleId="WWNum300">
    <w:name w:val="WWNum300"/>
    <w:basedOn w:val="NoList"/>
    <w:pPr>
      <w:numPr>
        <w:numId w:val="300"/>
      </w:numPr>
    </w:pPr>
  </w:style>
  <w:style w:type="numbering" w:customStyle="1" w:styleId="WWNum301">
    <w:name w:val="WWNum301"/>
    <w:basedOn w:val="NoList"/>
    <w:pPr>
      <w:numPr>
        <w:numId w:val="301"/>
      </w:numPr>
    </w:pPr>
  </w:style>
  <w:style w:type="numbering" w:customStyle="1" w:styleId="WWNum302">
    <w:name w:val="WWNum302"/>
    <w:basedOn w:val="NoList"/>
    <w:pPr>
      <w:numPr>
        <w:numId w:val="302"/>
      </w:numPr>
    </w:pPr>
  </w:style>
  <w:style w:type="numbering" w:customStyle="1" w:styleId="WWNum303">
    <w:name w:val="WWNum303"/>
    <w:basedOn w:val="NoList"/>
    <w:pPr>
      <w:numPr>
        <w:numId w:val="303"/>
      </w:numPr>
    </w:pPr>
  </w:style>
  <w:style w:type="numbering" w:customStyle="1" w:styleId="WWNum304">
    <w:name w:val="WWNum304"/>
    <w:basedOn w:val="NoList"/>
    <w:pPr>
      <w:numPr>
        <w:numId w:val="304"/>
      </w:numPr>
    </w:pPr>
  </w:style>
  <w:style w:type="numbering" w:customStyle="1" w:styleId="WWNum305">
    <w:name w:val="WWNum305"/>
    <w:basedOn w:val="NoList"/>
    <w:pPr>
      <w:numPr>
        <w:numId w:val="305"/>
      </w:numPr>
    </w:pPr>
  </w:style>
  <w:style w:type="numbering" w:customStyle="1" w:styleId="WWNum306">
    <w:name w:val="WWNum306"/>
    <w:basedOn w:val="NoList"/>
    <w:pPr>
      <w:numPr>
        <w:numId w:val="306"/>
      </w:numPr>
    </w:pPr>
  </w:style>
  <w:style w:type="numbering" w:customStyle="1" w:styleId="WWNum307">
    <w:name w:val="WWNum307"/>
    <w:basedOn w:val="NoList"/>
    <w:pPr>
      <w:numPr>
        <w:numId w:val="307"/>
      </w:numPr>
    </w:pPr>
  </w:style>
  <w:style w:type="numbering" w:customStyle="1" w:styleId="WWNum308">
    <w:name w:val="WWNum308"/>
    <w:basedOn w:val="NoList"/>
    <w:pPr>
      <w:numPr>
        <w:numId w:val="308"/>
      </w:numPr>
    </w:pPr>
  </w:style>
  <w:style w:type="numbering" w:customStyle="1" w:styleId="WWNum309">
    <w:name w:val="WWNum309"/>
    <w:basedOn w:val="NoList"/>
    <w:pPr>
      <w:numPr>
        <w:numId w:val="309"/>
      </w:numPr>
    </w:pPr>
  </w:style>
  <w:style w:type="numbering" w:customStyle="1" w:styleId="WWNum310">
    <w:name w:val="WWNum310"/>
    <w:basedOn w:val="NoList"/>
    <w:pPr>
      <w:numPr>
        <w:numId w:val="310"/>
      </w:numPr>
    </w:pPr>
  </w:style>
  <w:style w:type="numbering" w:customStyle="1" w:styleId="WWNum311">
    <w:name w:val="WWNum311"/>
    <w:basedOn w:val="NoList"/>
    <w:pPr>
      <w:numPr>
        <w:numId w:val="311"/>
      </w:numPr>
    </w:pPr>
  </w:style>
  <w:style w:type="numbering" w:customStyle="1" w:styleId="WWNum312">
    <w:name w:val="WWNum312"/>
    <w:basedOn w:val="NoList"/>
    <w:pPr>
      <w:numPr>
        <w:numId w:val="312"/>
      </w:numPr>
    </w:pPr>
  </w:style>
  <w:style w:type="numbering" w:customStyle="1" w:styleId="WWNum313">
    <w:name w:val="WWNum313"/>
    <w:basedOn w:val="NoList"/>
    <w:pPr>
      <w:numPr>
        <w:numId w:val="313"/>
      </w:numPr>
    </w:pPr>
  </w:style>
  <w:style w:type="numbering" w:customStyle="1" w:styleId="WWNum314">
    <w:name w:val="WWNum314"/>
    <w:basedOn w:val="NoList"/>
    <w:pPr>
      <w:numPr>
        <w:numId w:val="314"/>
      </w:numPr>
    </w:pPr>
  </w:style>
  <w:style w:type="numbering" w:customStyle="1" w:styleId="WWNum315">
    <w:name w:val="WWNum315"/>
    <w:basedOn w:val="NoList"/>
    <w:pPr>
      <w:numPr>
        <w:numId w:val="315"/>
      </w:numPr>
    </w:pPr>
  </w:style>
  <w:style w:type="numbering" w:customStyle="1" w:styleId="WWNum316">
    <w:name w:val="WWNum316"/>
    <w:basedOn w:val="NoList"/>
    <w:pPr>
      <w:numPr>
        <w:numId w:val="316"/>
      </w:numPr>
    </w:pPr>
  </w:style>
  <w:style w:type="numbering" w:customStyle="1" w:styleId="WWNum317">
    <w:name w:val="WWNum317"/>
    <w:basedOn w:val="NoList"/>
    <w:pPr>
      <w:numPr>
        <w:numId w:val="317"/>
      </w:numPr>
    </w:pPr>
  </w:style>
  <w:style w:type="numbering" w:customStyle="1" w:styleId="WWNum318">
    <w:name w:val="WWNum318"/>
    <w:basedOn w:val="NoList"/>
    <w:pPr>
      <w:numPr>
        <w:numId w:val="318"/>
      </w:numPr>
    </w:pPr>
  </w:style>
  <w:style w:type="numbering" w:customStyle="1" w:styleId="WWNum319">
    <w:name w:val="WWNum319"/>
    <w:basedOn w:val="NoList"/>
    <w:pPr>
      <w:numPr>
        <w:numId w:val="319"/>
      </w:numPr>
    </w:pPr>
  </w:style>
  <w:style w:type="numbering" w:customStyle="1" w:styleId="WWNum320">
    <w:name w:val="WWNum320"/>
    <w:basedOn w:val="NoList"/>
    <w:pPr>
      <w:numPr>
        <w:numId w:val="320"/>
      </w:numPr>
    </w:pPr>
  </w:style>
  <w:style w:type="numbering" w:customStyle="1" w:styleId="WWNum321">
    <w:name w:val="WWNum321"/>
    <w:basedOn w:val="NoList"/>
    <w:pPr>
      <w:numPr>
        <w:numId w:val="321"/>
      </w:numPr>
    </w:pPr>
  </w:style>
  <w:style w:type="numbering" w:customStyle="1" w:styleId="WWNum322">
    <w:name w:val="WWNum322"/>
    <w:basedOn w:val="NoList"/>
    <w:pPr>
      <w:numPr>
        <w:numId w:val="322"/>
      </w:numPr>
    </w:pPr>
  </w:style>
  <w:style w:type="numbering" w:customStyle="1" w:styleId="WWNum323">
    <w:name w:val="WWNum323"/>
    <w:basedOn w:val="NoList"/>
    <w:pPr>
      <w:numPr>
        <w:numId w:val="323"/>
      </w:numPr>
    </w:pPr>
  </w:style>
  <w:style w:type="numbering" w:customStyle="1" w:styleId="WWNum324">
    <w:name w:val="WWNum324"/>
    <w:basedOn w:val="NoList"/>
    <w:pPr>
      <w:numPr>
        <w:numId w:val="324"/>
      </w:numPr>
    </w:pPr>
  </w:style>
  <w:style w:type="numbering" w:customStyle="1" w:styleId="WWNum325">
    <w:name w:val="WWNum325"/>
    <w:basedOn w:val="NoList"/>
    <w:pPr>
      <w:numPr>
        <w:numId w:val="325"/>
      </w:numPr>
    </w:pPr>
  </w:style>
  <w:style w:type="numbering" w:customStyle="1" w:styleId="WWNum326">
    <w:name w:val="WWNum326"/>
    <w:basedOn w:val="NoList"/>
    <w:pPr>
      <w:numPr>
        <w:numId w:val="326"/>
      </w:numPr>
    </w:pPr>
  </w:style>
  <w:style w:type="numbering" w:customStyle="1" w:styleId="WWNum327">
    <w:name w:val="WWNum327"/>
    <w:basedOn w:val="NoList"/>
    <w:pPr>
      <w:numPr>
        <w:numId w:val="327"/>
      </w:numPr>
    </w:pPr>
  </w:style>
  <w:style w:type="numbering" w:customStyle="1" w:styleId="WWNum328">
    <w:name w:val="WWNum328"/>
    <w:basedOn w:val="NoList"/>
    <w:pPr>
      <w:numPr>
        <w:numId w:val="328"/>
      </w:numPr>
    </w:pPr>
  </w:style>
  <w:style w:type="numbering" w:customStyle="1" w:styleId="WWNum329">
    <w:name w:val="WWNum329"/>
    <w:basedOn w:val="NoList"/>
    <w:pPr>
      <w:numPr>
        <w:numId w:val="329"/>
      </w:numPr>
    </w:pPr>
  </w:style>
  <w:style w:type="numbering" w:customStyle="1" w:styleId="WWNum330">
    <w:name w:val="WWNum330"/>
    <w:basedOn w:val="NoList"/>
    <w:pPr>
      <w:numPr>
        <w:numId w:val="330"/>
      </w:numPr>
    </w:pPr>
  </w:style>
  <w:style w:type="numbering" w:customStyle="1" w:styleId="WWNum331">
    <w:name w:val="WWNum331"/>
    <w:basedOn w:val="NoList"/>
    <w:pPr>
      <w:numPr>
        <w:numId w:val="331"/>
      </w:numPr>
    </w:pPr>
  </w:style>
  <w:style w:type="numbering" w:customStyle="1" w:styleId="WWNum332">
    <w:name w:val="WWNum332"/>
    <w:basedOn w:val="NoList"/>
    <w:pPr>
      <w:numPr>
        <w:numId w:val="3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2815</Words>
  <Characters>16048</Characters>
  <Application>Microsoft Office Word</Application>
  <DocSecurity>4</DocSecurity>
  <Lines>133</Lines>
  <Paragraphs>37</Paragraphs>
  <ScaleCrop>false</ScaleCrop>
  <Company/>
  <LinksUpToDate>false</LinksUpToDate>
  <CharactersWithSpaces>18826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bail de location meublée 2026 - Modèle Word modifiable</dc:title>
  <dc:subject>Modèle de bail de location meublée Word (.docx) modifiable et gratuit 2026</dc:subject>
  <cp:keywords>modèle,bail,word,contrat,location,vide,conforme,meublée</cp:keywords>
  <dc:description>Bail de location meublée Word (.docx), contrat de location word gratuit conforme au modèle type pour logement meublé.</dc:description>
  <cp:lastModifiedBy>word</cp:lastModifiedBy>
  <cp:revision>2</cp:revision>
  <dcterms:created xsi:type="dcterms:W3CDTF">2026-07-18T09:57:00Z</dcterms:created>
  <dcterms:modified xsi:type="dcterms:W3CDTF">2026-07-18T09:57:00Z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